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1BDCC" w14:textId="77777777" w:rsidR="00A16612" w:rsidRPr="00A16612" w:rsidRDefault="00A16612" w:rsidP="00A16612">
      <w:pPr>
        <w:spacing w:line="360" w:lineRule="auto"/>
        <w:jc w:val="center"/>
        <w:rPr>
          <w:rFonts w:ascii="Cambria" w:eastAsia="Calibri" w:hAnsi="Cambria" w:cs="Times New Roman"/>
          <w:b/>
          <w:bCs/>
          <w:sz w:val="28"/>
          <w:szCs w:val="32"/>
          <w:lang w:val="id-ID"/>
        </w:rPr>
      </w:pPr>
      <w:r w:rsidRPr="00A16612">
        <w:rPr>
          <w:rFonts w:ascii="Cambria" w:eastAsia="Calibri" w:hAnsi="Cambria" w:cs="Times New Roman"/>
          <w:b/>
          <w:bCs/>
          <w:sz w:val="28"/>
          <w:szCs w:val="32"/>
          <w:lang w:val="id-ID"/>
        </w:rPr>
        <w:t xml:space="preserve">Edukasi Online Diabetes Mellitus Sebagai Komorbid Bagi Pasien Covid-19 </w:t>
      </w:r>
    </w:p>
    <w:p w14:paraId="330B401C" w14:textId="77777777" w:rsidR="00A16612" w:rsidRPr="00A16612" w:rsidRDefault="00A16612" w:rsidP="00A16612">
      <w:pPr>
        <w:spacing w:line="276" w:lineRule="auto"/>
        <w:jc w:val="center"/>
        <w:rPr>
          <w:rFonts w:ascii="Cambria" w:eastAsia="Calibri" w:hAnsi="Cambria" w:cs="Times New Roman"/>
          <w:b/>
          <w:bCs/>
          <w:sz w:val="20"/>
          <w:szCs w:val="20"/>
          <w:lang w:val="id-ID"/>
        </w:rPr>
      </w:pPr>
      <w:r w:rsidRPr="00A16612">
        <w:rPr>
          <w:rFonts w:ascii="Cambria" w:eastAsia="Calibri" w:hAnsi="Cambria" w:cs="Times New Roman"/>
          <w:b/>
          <w:bCs/>
          <w:sz w:val="20"/>
          <w:szCs w:val="20"/>
          <w:lang w:val="id-ID"/>
        </w:rPr>
        <w:t>Riong Seulina Panjaitan</w:t>
      </w:r>
      <w:r w:rsidRPr="00A16612">
        <w:rPr>
          <w:rFonts w:ascii="Cambria" w:eastAsia="Calibri" w:hAnsi="Cambria" w:cs="Times New Roman"/>
          <w:b/>
          <w:bCs/>
          <w:sz w:val="20"/>
          <w:szCs w:val="20"/>
          <w:vertAlign w:val="superscript"/>
          <w:lang w:val="id-ID"/>
        </w:rPr>
        <w:t>1*</w:t>
      </w:r>
      <w:r w:rsidRPr="00A16612">
        <w:rPr>
          <w:rFonts w:ascii="Cambria" w:eastAsia="Calibri" w:hAnsi="Cambria" w:cs="Times New Roman"/>
          <w:b/>
          <w:bCs/>
          <w:sz w:val="20"/>
          <w:szCs w:val="20"/>
          <w:lang w:val="id-ID"/>
        </w:rPr>
        <w:t>, Rabima</w:t>
      </w:r>
      <w:r w:rsidRPr="00A16612">
        <w:rPr>
          <w:rFonts w:ascii="Cambria" w:eastAsia="Calibri" w:hAnsi="Cambria" w:cs="Times New Roman"/>
          <w:b/>
          <w:bCs/>
          <w:sz w:val="20"/>
          <w:szCs w:val="20"/>
          <w:vertAlign w:val="superscript"/>
          <w:lang w:val="id-ID"/>
        </w:rPr>
        <w:t>2</w:t>
      </w:r>
      <w:r w:rsidRPr="00A16612">
        <w:rPr>
          <w:rFonts w:ascii="Cambria" w:eastAsia="Calibri" w:hAnsi="Cambria" w:cs="Times New Roman"/>
          <w:b/>
          <w:bCs/>
          <w:sz w:val="20"/>
          <w:szCs w:val="20"/>
          <w:lang w:val="id-ID"/>
        </w:rPr>
        <w:t>, Purwati</w:t>
      </w:r>
      <w:r w:rsidRPr="00A16612">
        <w:rPr>
          <w:rFonts w:ascii="Cambria" w:eastAsia="Calibri" w:hAnsi="Cambria" w:cs="Times New Roman"/>
          <w:b/>
          <w:bCs/>
          <w:sz w:val="20"/>
          <w:szCs w:val="20"/>
          <w:vertAlign w:val="superscript"/>
          <w:lang w:val="id-ID"/>
        </w:rPr>
        <w:t>3</w:t>
      </w:r>
      <w:r w:rsidRPr="00A16612">
        <w:rPr>
          <w:rFonts w:ascii="Cambria" w:eastAsia="Calibri" w:hAnsi="Cambria" w:cs="Times New Roman"/>
          <w:b/>
          <w:bCs/>
          <w:sz w:val="20"/>
          <w:szCs w:val="20"/>
          <w:lang w:val="id-ID"/>
        </w:rPr>
        <w:t>, Yunita Maulida</w:t>
      </w:r>
      <w:r w:rsidRPr="00A16612">
        <w:rPr>
          <w:rFonts w:ascii="Cambria" w:eastAsia="Calibri" w:hAnsi="Cambria" w:cs="Times New Roman"/>
          <w:b/>
          <w:bCs/>
          <w:sz w:val="20"/>
          <w:szCs w:val="20"/>
          <w:vertAlign w:val="superscript"/>
          <w:lang w:val="id-ID"/>
        </w:rPr>
        <w:t>4</w:t>
      </w:r>
      <w:r w:rsidRPr="00A16612">
        <w:rPr>
          <w:rFonts w:ascii="Cambria" w:eastAsia="Calibri" w:hAnsi="Cambria" w:cs="Times New Roman"/>
          <w:b/>
          <w:bCs/>
          <w:sz w:val="20"/>
          <w:szCs w:val="20"/>
          <w:lang w:val="id-ID"/>
        </w:rPr>
        <w:t>, Clemens Gidion Wansaga</w:t>
      </w:r>
      <w:r w:rsidRPr="00A16612">
        <w:rPr>
          <w:rFonts w:ascii="Cambria" w:eastAsia="Calibri" w:hAnsi="Cambria" w:cs="Times New Roman"/>
          <w:b/>
          <w:bCs/>
          <w:sz w:val="20"/>
          <w:szCs w:val="20"/>
          <w:vertAlign w:val="superscript"/>
          <w:lang w:val="id-ID"/>
        </w:rPr>
        <w:t>5</w:t>
      </w:r>
      <w:r w:rsidRPr="00A16612">
        <w:rPr>
          <w:rFonts w:ascii="Cambria" w:eastAsia="Calibri" w:hAnsi="Cambria" w:cs="Times New Roman"/>
          <w:b/>
          <w:bCs/>
          <w:sz w:val="20"/>
          <w:szCs w:val="20"/>
          <w:lang w:val="id-ID"/>
        </w:rPr>
        <w:t>, Yuni Christina Angelika</w:t>
      </w:r>
      <w:r w:rsidRPr="00A16612">
        <w:rPr>
          <w:rFonts w:ascii="Cambria" w:eastAsia="Calibri" w:hAnsi="Cambria" w:cs="Times New Roman"/>
          <w:b/>
          <w:bCs/>
          <w:sz w:val="20"/>
          <w:szCs w:val="20"/>
          <w:vertAlign w:val="superscript"/>
          <w:lang w:val="id-ID"/>
        </w:rPr>
        <w:t>6</w:t>
      </w:r>
      <w:r w:rsidRPr="00A16612">
        <w:rPr>
          <w:rFonts w:ascii="Cambria" w:eastAsia="Calibri" w:hAnsi="Cambria" w:cs="Times New Roman"/>
          <w:b/>
          <w:bCs/>
          <w:sz w:val="20"/>
          <w:szCs w:val="20"/>
          <w:lang w:val="id-ID"/>
        </w:rPr>
        <w:t>, Phoebe Clarisa Chastity</w:t>
      </w:r>
      <w:r w:rsidRPr="00A16612">
        <w:rPr>
          <w:rFonts w:ascii="Cambria" w:eastAsia="Calibri" w:hAnsi="Cambria" w:cs="Times New Roman"/>
          <w:b/>
          <w:bCs/>
          <w:sz w:val="20"/>
          <w:szCs w:val="20"/>
          <w:vertAlign w:val="superscript"/>
          <w:lang w:val="id-ID"/>
        </w:rPr>
        <w:t>7</w:t>
      </w:r>
      <w:r w:rsidRPr="00A16612">
        <w:rPr>
          <w:rFonts w:ascii="Cambria" w:eastAsia="Calibri" w:hAnsi="Cambria" w:cs="Times New Roman"/>
          <w:b/>
          <w:bCs/>
          <w:sz w:val="20"/>
          <w:szCs w:val="20"/>
          <w:lang w:val="id-ID"/>
        </w:rPr>
        <w:t>, Irene Epifania Sitorus</w:t>
      </w:r>
      <w:r w:rsidRPr="00A16612">
        <w:rPr>
          <w:rFonts w:ascii="Cambria" w:eastAsia="Calibri" w:hAnsi="Cambria" w:cs="Times New Roman"/>
          <w:b/>
          <w:bCs/>
          <w:sz w:val="20"/>
          <w:szCs w:val="20"/>
          <w:vertAlign w:val="superscript"/>
          <w:lang w:val="id-ID"/>
        </w:rPr>
        <w:t>8</w:t>
      </w:r>
      <w:r w:rsidRPr="00A16612">
        <w:rPr>
          <w:rFonts w:ascii="Cambria" w:eastAsia="Calibri" w:hAnsi="Cambria" w:cs="Times New Roman"/>
          <w:b/>
          <w:bCs/>
          <w:sz w:val="20"/>
          <w:szCs w:val="20"/>
          <w:lang w:val="id-ID"/>
        </w:rPr>
        <w:t>, Muhyiddin Al Firmansyah</w:t>
      </w:r>
      <w:r w:rsidRPr="00A16612">
        <w:rPr>
          <w:rFonts w:ascii="Cambria" w:eastAsia="Calibri" w:hAnsi="Cambria" w:cs="Times New Roman"/>
          <w:b/>
          <w:bCs/>
          <w:sz w:val="20"/>
          <w:szCs w:val="20"/>
          <w:vertAlign w:val="superscript"/>
          <w:lang w:val="id-ID"/>
        </w:rPr>
        <w:t>9</w:t>
      </w:r>
      <w:r w:rsidRPr="00A16612">
        <w:rPr>
          <w:rFonts w:ascii="Cambria" w:eastAsia="Calibri" w:hAnsi="Cambria" w:cs="Times New Roman"/>
          <w:b/>
          <w:bCs/>
          <w:sz w:val="20"/>
          <w:szCs w:val="20"/>
          <w:lang w:val="id-ID"/>
        </w:rPr>
        <w:t>, Apriliya Rahayu</w:t>
      </w:r>
      <w:r w:rsidRPr="00A16612">
        <w:rPr>
          <w:rFonts w:ascii="Cambria" w:eastAsia="Calibri" w:hAnsi="Cambria" w:cs="Times New Roman"/>
          <w:b/>
          <w:bCs/>
          <w:sz w:val="20"/>
          <w:szCs w:val="20"/>
          <w:vertAlign w:val="superscript"/>
          <w:lang w:val="id-ID"/>
        </w:rPr>
        <w:t>10</w:t>
      </w:r>
      <w:r w:rsidRPr="00A16612">
        <w:rPr>
          <w:rFonts w:ascii="Cambria" w:eastAsia="Calibri" w:hAnsi="Cambria" w:cs="Times New Roman"/>
          <w:b/>
          <w:bCs/>
          <w:sz w:val="20"/>
          <w:szCs w:val="20"/>
          <w:lang w:val="id-ID"/>
        </w:rPr>
        <w:t>, Elvira Ramadhani</w:t>
      </w:r>
      <w:r w:rsidRPr="00A16612">
        <w:rPr>
          <w:rFonts w:ascii="Cambria" w:eastAsia="Calibri" w:hAnsi="Cambria" w:cs="Times New Roman"/>
          <w:b/>
          <w:bCs/>
          <w:sz w:val="20"/>
          <w:szCs w:val="20"/>
          <w:vertAlign w:val="superscript"/>
          <w:lang w:val="id-ID"/>
        </w:rPr>
        <w:t>11</w:t>
      </w:r>
      <w:r w:rsidRPr="00A16612">
        <w:rPr>
          <w:rFonts w:ascii="Cambria" w:eastAsia="Calibri" w:hAnsi="Cambria" w:cs="Times New Roman"/>
          <w:b/>
          <w:bCs/>
          <w:sz w:val="20"/>
          <w:szCs w:val="20"/>
          <w:lang w:val="id-ID"/>
        </w:rPr>
        <w:t>, Syulastri</w:t>
      </w:r>
      <w:r w:rsidRPr="00A16612">
        <w:rPr>
          <w:rFonts w:ascii="Cambria" w:eastAsia="Calibri" w:hAnsi="Cambria" w:cs="Times New Roman"/>
          <w:b/>
          <w:bCs/>
          <w:sz w:val="20"/>
          <w:szCs w:val="20"/>
          <w:vertAlign w:val="superscript"/>
          <w:lang w:val="id-ID"/>
        </w:rPr>
        <w:t>12</w:t>
      </w:r>
      <w:r w:rsidRPr="00A16612">
        <w:rPr>
          <w:rFonts w:ascii="Cambria" w:eastAsia="Calibri" w:hAnsi="Cambria" w:cs="Times New Roman"/>
          <w:b/>
          <w:bCs/>
          <w:sz w:val="20"/>
          <w:szCs w:val="20"/>
          <w:lang w:val="id-ID"/>
        </w:rPr>
        <w:t>, Maulinda Bulan</w:t>
      </w:r>
      <w:r w:rsidRPr="00A16612">
        <w:rPr>
          <w:rFonts w:ascii="Cambria" w:eastAsia="Calibri" w:hAnsi="Cambria" w:cs="Times New Roman"/>
          <w:b/>
          <w:bCs/>
          <w:sz w:val="20"/>
          <w:szCs w:val="20"/>
          <w:vertAlign w:val="superscript"/>
          <w:lang w:val="id-ID"/>
        </w:rPr>
        <w:t>13</w:t>
      </w:r>
    </w:p>
    <w:p w14:paraId="51A73588" w14:textId="77777777" w:rsidR="00A16612" w:rsidRPr="00A16612" w:rsidRDefault="00A16612" w:rsidP="00A16612">
      <w:pPr>
        <w:spacing w:line="276" w:lineRule="auto"/>
        <w:jc w:val="center"/>
        <w:rPr>
          <w:rFonts w:ascii="Cambria" w:eastAsia="Calibri" w:hAnsi="Cambria" w:cs="Times New Roman"/>
          <w:b/>
          <w:sz w:val="24"/>
          <w:szCs w:val="24"/>
          <w:lang w:val="id-ID"/>
        </w:rPr>
      </w:pPr>
    </w:p>
    <w:p w14:paraId="16BD8790" w14:textId="77777777" w:rsidR="00A16612" w:rsidRPr="00A16612" w:rsidRDefault="00A16612" w:rsidP="00A16612">
      <w:pPr>
        <w:spacing w:line="276" w:lineRule="auto"/>
        <w:jc w:val="center"/>
        <w:rPr>
          <w:rFonts w:ascii="Cambria" w:eastAsia="Calibri" w:hAnsi="Cambria" w:cs="Times New Roman"/>
          <w:b/>
          <w:sz w:val="24"/>
          <w:szCs w:val="24"/>
          <w:lang w:val="id-ID"/>
        </w:rPr>
      </w:pPr>
      <w:r w:rsidRPr="00A16612">
        <w:rPr>
          <w:rFonts w:ascii="Cambria" w:eastAsia="Calibri" w:hAnsi="Cambria" w:cs="Times New Roman"/>
          <w:b/>
          <w:sz w:val="24"/>
          <w:szCs w:val="24"/>
          <w:lang w:val="id-ID"/>
        </w:rPr>
        <w:t>Fakultas Farmasi, Universitas 17 Agustus 1945 Jakarta, Jl. Sunter Permai Raya, Jakarta Utara, Indonesia</w:t>
      </w:r>
    </w:p>
    <w:p w14:paraId="00065B09" w14:textId="77777777" w:rsidR="00A16612" w:rsidRPr="00A16612" w:rsidRDefault="00A16612" w:rsidP="00A16612">
      <w:pPr>
        <w:spacing w:after="0" w:line="360" w:lineRule="auto"/>
        <w:jc w:val="center"/>
        <w:rPr>
          <w:rFonts w:ascii="Cambria" w:eastAsia="Calibri" w:hAnsi="Cambria" w:cs="Times New Roman"/>
          <w:b/>
          <w:sz w:val="24"/>
          <w:szCs w:val="24"/>
          <w:lang w:val="en-US"/>
        </w:rPr>
      </w:pPr>
      <w:hyperlink r:id="rId6" w:history="1">
        <w:r w:rsidRPr="00A16612">
          <w:rPr>
            <w:rFonts w:ascii="Cambria" w:eastAsia="Calibri" w:hAnsi="Cambria" w:cs="Times New Roman"/>
            <w:b/>
            <w:color w:val="0000FF"/>
            <w:sz w:val="24"/>
            <w:szCs w:val="24"/>
            <w:u w:val="single"/>
            <w:lang w:val="id-ID"/>
          </w:rPr>
          <w:t>*riongpanjaitan@yahoo.co.id</w:t>
        </w:r>
      </w:hyperlink>
      <w:r w:rsidRPr="00A16612">
        <w:rPr>
          <w:rFonts w:ascii="Cambria" w:eastAsia="Calibri" w:hAnsi="Cambria" w:cs="Times New Roman"/>
          <w:b/>
          <w:sz w:val="24"/>
          <w:szCs w:val="24"/>
          <w:lang w:val="id-ID"/>
        </w:rPr>
        <w:t xml:space="preserve"> </w:t>
      </w:r>
    </w:p>
    <w:p w14:paraId="0EDF12D5" w14:textId="77777777" w:rsidR="00A16612" w:rsidRPr="00A16612" w:rsidRDefault="00A16612" w:rsidP="00A16612">
      <w:pPr>
        <w:spacing w:after="0" w:line="360" w:lineRule="auto"/>
        <w:rPr>
          <w:rFonts w:ascii="Cambria" w:eastAsia="Calibri" w:hAnsi="Cambria" w:cs="Times New Roman"/>
          <w:b/>
          <w:sz w:val="24"/>
          <w:szCs w:val="24"/>
          <w:lang w:val="id-ID"/>
        </w:rPr>
      </w:pPr>
    </w:p>
    <w:p w14:paraId="1EE22F74" w14:textId="77777777" w:rsidR="00A16612" w:rsidRPr="00A16612" w:rsidRDefault="00A16612" w:rsidP="00A16612">
      <w:pPr>
        <w:spacing w:after="0" w:line="240" w:lineRule="auto"/>
        <w:jc w:val="center"/>
        <w:rPr>
          <w:rFonts w:ascii="Cambria" w:eastAsia="Calibri" w:hAnsi="Cambria" w:cs="Times New Roman"/>
          <w:b/>
          <w:sz w:val="24"/>
          <w:szCs w:val="24"/>
          <w:lang w:val="id-ID"/>
        </w:rPr>
      </w:pPr>
      <w:r w:rsidRPr="00A16612">
        <w:rPr>
          <w:rFonts w:ascii="Cambria" w:eastAsia="Calibri" w:hAnsi="Cambria" w:cs="Times New Roman"/>
          <w:b/>
          <w:sz w:val="24"/>
          <w:szCs w:val="24"/>
          <w:lang w:val="id-ID"/>
        </w:rPr>
        <w:t>ABSTRAK</w:t>
      </w:r>
    </w:p>
    <w:p w14:paraId="66432D81" w14:textId="77777777" w:rsidR="00A16612" w:rsidRPr="00A16612" w:rsidRDefault="00A16612" w:rsidP="00A16612">
      <w:pPr>
        <w:spacing w:after="0" w:line="240" w:lineRule="auto"/>
        <w:jc w:val="both"/>
        <w:rPr>
          <w:rFonts w:ascii="Cambria" w:eastAsia="Calibri" w:hAnsi="Cambria" w:cs="Times New Roman"/>
          <w:sz w:val="24"/>
          <w:szCs w:val="24"/>
          <w:lang w:val="id-ID"/>
        </w:rPr>
      </w:pPr>
    </w:p>
    <w:p w14:paraId="3A35969D" w14:textId="77777777" w:rsidR="00A16612" w:rsidRPr="00A16612" w:rsidRDefault="00A16612" w:rsidP="00A16612">
      <w:pPr>
        <w:spacing w:after="0" w:line="240" w:lineRule="auto"/>
        <w:jc w:val="both"/>
        <w:rPr>
          <w:rFonts w:ascii="Cambria" w:eastAsia="Calibri" w:hAnsi="Cambria" w:cs="Times New Roman"/>
          <w:i/>
          <w:iCs/>
          <w:sz w:val="20"/>
          <w:lang w:val="id-ID"/>
        </w:rPr>
      </w:pPr>
      <w:r w:rsidRPr="00A16612">
        <w:rPr>
          <w:rFonts w:ascii="Cambria" w:eastAsia="Calibri" w:hAnsi="Cambria" w:cs="Times New Roman"/>
          <w:i/>
          <w:iCs/>
          <w:color w:val="000000" w:themeColor="text1"/>
          <w:sz w:val="20"/>
          <w:lang w:val="id-ID"/>
        </w:rPr>
        <w:t xml:space="preserve">Diabetes mellitus (DM) merupakan gangguan metabolik menahun akibat pankreas tidak memproduksi cukup insulin atau tubuh tidak dapat menggunakan insulin yang diproduksi secara efektif.Insulin adalah hormon yang mengatur keseimbangan kadar gula darah. Akibatnya terjadi peningkatan konsentrasi glukosa di dalam darah. Penderita penyakit DM adalah salah satu yang rentan terinfeksi virus COVID-19 yang dikarenakan orang dengan penyakit komorbid memiliki kekebalan tubuh yang lebih lemah daripada tanpa penyakit komorbid. Oleh karena itu, tujuan dari kegiatan pengabdian masyarakat ini untuk mengedukasi </w:t>
      </w:r>
      <w:r w:rsidRPr="00A16612">
        <w:rPr>
          <w:rFonts w:ascii="Cambria" w:eastAsia="Calibri" w:hAnsi="Cambria" w:cs="Times New Roman"/>
          <w:i/>
          <w:iCs/>
          <w:sz w:val="20"/>
          <w:lang w:val="id-ID"/>
        </w:rPr>
        <w:t>masyarakat di Perumahan Sari Indah RT 8A mengenai tanda dan gejala penyakit DM baik tipe 1 ataupun tipe 2, terapi farmakologi dan non farmakologi yang digunakan untuk pasien DM, serta hubungan antara virus COVID-19 dengan DM. Metode yang digunakan oleh tim pengabdian masyarakat adalah metode penyuluhan dengan bantuan media poster, power point (ppt) dan video. Kegiatan ini juga melibatkan peran serta mahasiswa/i kelas Biokimia Universitas 17 Agustus 1945 Jakarta. Hasil yang dicapai adalah peningkatan pemahaman masyarakat Perumahan Sari Indah RT 8A tentang virus COVID-19 sebagai komorbid bagi pasien DM yang terlihat dari perbandingan hasil pre-test dan post-test yang diberikan.</w:t>
      </w:r>
    </w:p>
    <w:p w14:paraId="34DFDC54" w14:textId="77777777" w:rsidR="00A16612" w:rsidRPr="00A16612" w:rsidRDefault="00A16612" w:rsidP="00A16612">
      <w:pPr>
        <w:spacing w:after="0" w:line="240" w:lineRule="auto"/>
        <w:jc w:val="both"/>
        <w:rPr>
          <w:rFonts w:ascii="Cambria" w:eastAsia="Calibri" w:hAnsi="Cambria" w:cs="Times New Roman"/>
          <w:szCs w:val="24"/>
          <w:lang w:val="id-ID"/>
        </w:rPr>
      </w:pPr>
    </w:p>
    <w:p w14:paraId="0B144D73" w14:textId="77777777" w:rsidR="00A16612" w:rsidRPr="00A16612" w:rsidRDefault="00A16612" w:rsidP="00A16612">
      <w:pPr>
        <w:spacing w:after="0" w:line="240" w:lineRule="auto"/>
        <w:jc w:val="both"/>
        <w:rPr>
          <w:rFonts w:ascii="Cambria" w:eastAsia="Times New Roman" w:hAnsi="Cambria" w:cs="Times New Roman"/>
          <w:sz w:val="20"/>
          <w:szCs w:val="20"/>
          <w:lang w:val="id-ID" w:eastAsia="id-ID"/>
        </w:rPr>
      </w:pPr>
      <w:r w:rsidRPr="00A16612">
        <w:rPr>
          <w:rFonts w:ascii="Cambria" w:eastAsia="Times New Roman" w:hAnsi="Cambria" w:cs="Times New Roman"/>
          <w:b/>
          <w:bCs/>
          <w:sz w:val="20"/>
          <w:szCs w:val="20"/>
          <w:lang w:val="id-ID" w:eastAsia="id-ID"/>
        </w:rPr>
        <w:t>Kata Kunci:</w:t>
      </w:r>
      <w:r w:rsidRPr="00A16612">
        <w:rPr>
          <w:rFonts w:ascii="Cambria" w:eastAsia="Times New Roman" w:hAnsi="Cambria" w:cs="Times New Roman"/>
          <w:sz w:val="20"/>
          <w:szCs w:val="20"/>
          <w:lang w:val="id-ID" w:eastAsia="id-ID"/>
        </w:rPr>
        <w:t xml:space="preserve"> </w:t>
      </w:r>
      <w:r w:rsidRPr="00A16612">
        <w:rPr>
          <w:rFonts w:ascii="Cambria" w:eastAsia="Calibri" w:hAnsi="Cambria" w:cs="Times New Roman"/>
          <w:i/>
          <w:iCs/>
          <w:sz w:val="20"/>
          <w:lang w:val="id-ID"/>
        </w:rPr>
        <w:t>diabetes melitus, komorbid, COVID-19</w:t>
      </w:r>
    </w:p>
    <w:p w14:paraId="24EBDA78" w14:textId="77777777" w:rsidR="00A16612" w:rsidRPr="00A16612" w:rsidRDefault="00A16612" w:rsidP="00A16612">
      <w:pPr>
        <w:spacing w:after="0" w:line="240" w:lineRule="auto"/>
        <w:jc w:val="both"/>
        <w:rPr>
          <w:rFonts w:ascii="Cambria" w:eastAsia="Calibri" w:hAnsi="Cambria" w:cs="Times New Roman"/>
          <w:sz w:val="20"/>
          <w:szCs w:val="20"/>
          <w:lang w:val="id-ID"/>
        </w:rPr>
      </w:pPr>
    </w:p>
    <w:p w14:paraId="0728EF16" w14:textId="77777777" w:rsidR="00A16612" w:rsidRPr="00A16612" w:rsidRDefault="00A16612" w:rsidP="00A16612">
      <w:pPr>
        <w:spacing w:after="0" w:line="240" w:lineRule="auto"/>
        <w:jc w:val="both"/>
        <w:rPr>
          <w:rFonts w:ascii="Cambria" w:eastAsia="Calibri" w:hAnsi="Cambria" w:cs="Times New Roman"/>
          <w:sz w:val="24"/>
          <w:szCs w:val="24"/>
          <w:lang w:val="id-ID"/>
        </w:rPr>
      </w:pPr>
    </w:p>
    <w:p w14:paraId="4868C907" w14:textId="77777777" w:rsidR="00A16612" w:rsidRPr="00A16612" w:rsidRDefault="00A16612" w:rsidP="00A16612">
      <w:pPr>
        <w:spacing w:after="0" w:line="240" w:lineRule="auto"/>
        <w:jc w:val="center"/>
        <w:rPr>
          <w:rFonts w:ascii="Cambria" w:eastAsia="Calibri" w:hAnsi="Cambria" w:cs="Times New Roman"/>
          <w:b/>
          <w:i/>
          <w:sz w:val="24"/>
          <w:szCs w:val="24"/>
          <w:lang w:val="id-ID"/>
        </w:rPr>
      </w:pPr>
      <w:r w:rsidRPr="00A16612">
        <w:rPr>
          <w:rFonts w:ascii="Cambria" w:eastAsia="Calibri" w:hAnsi="Cambria" w:cs="Times New Roman"/>
          <w:b/>
          <w:i/>
          <w:sz w:val="24"/>
          <w:szCs w:val="24"/>
          <w:lang w:val="id-ID"/>
        </w:rPr>
        <w:t>ABSTRACT</w:t>
      </w:r>
    </w:p>
    <w:p w14:paraId="76F4E78F" w14:textId="77777777" w:rsidR="00A16612" w:rsidRPr="00A16612" w:rsidRDefault="00A16612" w:rsidP="00A16612">
      <w:pPr>
        <w:spacing w:after="0" w:line="240" w:lineRule="auto"/>
        <w:jc w:val="both"/>
        <w:rPr>
          <w:rFonts w:ascii="Cambria" w:eastAsia="Calibri" w:hAnsi="Cambria" w:cs="Times New Roman"/>
          <w:sz w:val="24"/>
          <w:szCs w:val="24"/>
          <w:lang w:val="id-ID"/>
        </w:rPr>
      </w:pPr>
    </w:p>
    <w:p w14:paraId="2C6446DF" w14:textId="77777777" w:rsidR="00A16612" w:rsidRPr="00A16612" w:rsidRDefault="00A16612" w:rsidP="00A16612">
      <w:pPr>
        <w:jc w:val="both"/>
        <w:rPr>
          <w:rFonts w:ascii="Times New Roman" w:eastAsia="Calibri" w:hAnsi="Times New Roman" w:cs="Times New Roman"/>
          <w:i/>
          <w:iCs/>
          <w:lang w:val="id-ID"/>
        </w:rPr>
      </w:pPr>
      <w:r w:rsidRPr="00A16612">
        <w:rPr>
          <w:rFonts w:ascii="Times New Roman" w:eastAsia="Calibri" w:hAnsi="Times New Roman" w:cs="Times New Roman"/>
          <w:i/>
          <w:iCs/>
          <w:lang w:val="id-ID"/>
        </w:rPr>
        <w:t xml:space="preserve">Diabetes Mellitus (DM) is a metabolic disorder caused by the pancreas not producing enough insulin or the body cannot use the insulin it produces effectively. Insulin is a hormone that regulates the balance of blood sugar levels. The result of an increase in the concentration of glucose in the sarah. (Gripp et al., 2013) Patients with DM are one of the most susceptible to being infected with the COVID-19 virus caused by comorbid diseases that have weaker immunity than comorbid diseases. Therefore, the purpose of this community service is to educate the community of the Sari Indah RT 8A Housing Complex regarding the signs and symptoms of DM both type 1 and type 2, pharmacological and non-pharmacological therapies used for DM patients, and the relationship between the COVID-19 virus and DM. . The method used by the community service team is the extension method with the help of poster media, power point (ppt) and video. This activity also involved the participation of students from the Biochemistry class and the University of 17 August 1945, Jakarta. The result achieved was an increase in the </w:t>
      </w:r>
      <w:r w:rsidRPr="00A16612">
        <w:rPr>
          <w:rFonts w:ascii="Times New Roman" w:eastAsia="Calibri" w:hAnsi="Times New Roman" w:cs="Times New Roman"/>
          <w:i/>
          <w:iCs/>
          <w:lang w:val="id-ID"/>
        </w:rPr>
        <w:lastRenderedPageBreak/>
        <w:t>understanding of the Sari Indah Housing Complex RT 8A community about the COVID-19 virus as a comorbidity for DM patients as seen from the results of the Pre-Test and Post-Test given.</w:t>
      </w:r>
    </w:p>
    <w:p w14:paraId="1DFF9E79" w14:textId="77777777" w:rsidR="00A16612" w:rsidRPr="00A16612" w:rsidRDefault="00A16612" w:rsidP="00A16612">
      <w:pPr>
        <w:spacing w:after="0" w:line="240" w:lineRule="auto"/>
        <w:jc w:val="both"/>
        <w:rPr>
          <w:rFonts w:ascii="Cambria" w:eastAsia="Calibri" w:hAnsi="Cambria" w:cs="Times New Roman"/>
          <w:i/>
          <w:sz w:val="24"/>
          <w:szCs w:val="24"/>
          <w:lang w:val="id-ID"/>
        </w:rPr>
      </w:pPr>
    </w:p>
    <w:p w14:paraId="726F4A0B" w14:textId="77777777" w:rsidR="00A16612" w:rsidRPr="00A16612" w:rsidRDefault="00A16612" w:rsidP="00A16612">
      <w:pPr>
        <w:spacing w:after="0" w:line="240" w:lineRule="auto"/>
        <w:jc w:val="both"/>
        <w:rPr>
          <w:rFonts w:ascii="Cambria" w:eastAsia="Times New Roman" w:hAnsi="Cambria" w:cs="Times New Roman"/>
          <w:sz w:val="20"/>
          <w:szCs w:val="20"/>
          <w:lang w:val="en-US" w:eastAsia="id-ID"/>
        </w:rPr>
      </w:pPr>
      <w:r w:rsidRPr="00A16612">
        <w:rPr>
          <w:rFonts w:ascii="Cambria" w:eastAsia="Times New Roman" w:hAnsi="Cambria" w:cs="Times New Roman"/>
          <w:b/>
          <w:bCs/>
          <w:sz w:val="20"/>
          <w:szCs w:val="20"/>
          <w:lang w:val="id-ID" w:eastAsia="id-ID"/>
        </w:rPr>
        <w:t>Keywords:</w:t>
      </w:r>
      <w:r w:rsidRPr="00A16612">
        <w:rPr>
          <w:rFonts w:ascii="Cambria" w:eastAsia="Times New Roman" w:hAnsi="Cambria" w:cs="Times New Roman"/>
          <w:sz w:val="20"/>
          <w:szCs w:val="20"/>
          <w:lang w:val="id-ID" w:eastAsia="id-ID"/>
        </w:rPr>
        <w:t xml:space="preserve"> </w:t>
      </w:r>
      <w:r w:rsidRPr="00A16612">
        <w:rPr>
          <w:rFonts w:ascii="Cambria" w:eastAsia="Calibri" w:hAnsi="Cambria" w:cs="Times New Roman"/>
          <w:i/>
          <w:iCs/>
          <w:sz w:val="20"/>
          <w:lang w:val="id-ID"/>
        </w:rPr>
        <w:t>diabetes mellitus, comorbid,, COVID-19</w:t>
      </w:r>
    </w:p>
    <w:p w14:paraId="327869C7" w14:textId="77777777" w:rsidR="00A16612" w:rsidRPr="00A16612" w:rsidRDefault="00A16612" w:rsidP="00A16612">
      <w:pPr>
        <w:spacing w:after="0" w:line="360" w:lineRule="auto"/>
        <w:jc w:val="both"/>
        <w:rPr>
          <w:rFonts w:ascii="Cambria" w:eastAsia="Calibri" w:hAnsi="Cambria" w:cs="Times New Roman"/>
          <w:sz w:val="24"/>
          <w:szCs w:val="24"/>
          <w:lang w:val="id-ID"/>
        </w:rPr>
      </w:pPr>
    </w:p>
    <w:p w14:paraId="507ED2C8" w14:textId="77777777" w:rsidR="00A16612" w:rsidRPr="00A16612" w:rsidRDefault="00A16612" w:rsidP="00A16612">
      <w:pPr>
        <w:spacing w:after="0" w:line="360" w:lineRule="auto"/>
        <w:rPr>
          <w:rFonts w:ascii="Cambria" w:eastAsia="Calibri" w:hAnsi="Cambria" w:cs="Times New Roman"/>
          <w:b/>
          <w:sz w:val="24"/>
          <w:szCs w:val="24"/>
          <w:lang w:val="id-ID"/>
        </w:rPr>
      </w:pPr>
    </w:p>
    <w:p w14:paraId="2C69142E" w14:textId="77777777" w:rsidR="00A16612" w:rsidRPr="00A16612" w:rsidRDefault="00A16612" w:rsidP="00A16612">
      <w:pPr>
        <w:spacing w:after="0" w:line="360" w:lineRule="auto"/>
        <w:rPr>
          <w:rFonts w:ascii="Cambria" w:eastAsia="Calibri" w:hAnsi="Cambria" w:cs="Times New Roman"/>
          <w:b/>
          <w:sz w:val="24"/>
          <w:szCs w:val="24"/>
          <w:lang w:val="id-ID"/>
        </w:rPr>
        <w:sectPr w:rsidR="00A16612" w:rsidRPr="00A16612" w:rsidSect="000E5C38">
          <w:headerReference w:type="default" r:id="rId7"/>
          <w:footerReference w:type="default" r:id="rId8"/>
          <w:pgSz w:w="11906" w:h="16838" w:code="9"/>
          <w:pgMar w:top="1134" w:right="1701" w:bottom="1134" w:left="1701" w:header="709" w:footer="709" w:gutter="0"/>
          <w:cols w:space="708"/>
          <w:docGrid w:linePitch="360"/>
        </w:sectPr>
      </w:pPr>
    </w:p>
    <w:p w14:paraId="5637F42A" w14:textId="77777777" w:rsidR="00A16612" w:rsidRPr="00A16612" w:rsidRDefault="00A16612" w:rsidP="00A16612">
      <w:pPr>
        <w:spacing w:after="0" w:line="360" w:lineRule="auto"/>
        <w:contextualSpacing/>
        <w:jc w:val="both"/>
        <w:rPr>
          <w:rFonts w:ascii="Cambria" w:eastAsia="Calibri" w:hAnsi="Cambria" w:cs="Times New Roman"/>
          <w:b/>
          <w:sz w:val="24"/>
          <w:szCs w:val="24"/>
          <w:lang w:val="id-ID"/>
        </w:rPr>
      </w:pPr>
      <w:r w:rsidRPr="00A16612">
        <w:rPr>
          <w:rFonts w:ascii="Cambria" w:eastAsia="Calibri" w:hAnsi="Cambria" w:cs="Times New Roman"/>
          <w:b/>
          <w:sz w:val="24"/>
          <w:szCs w:val="24"/>
          <w:lang w:val="id-ID"/>
        </w:rPr>
        <w:lastRenderedPageBreak/>
        <w:t>PENDAHULUAN</w:t>
      </w:r>
    </w:p>
    <w:p w14:paraId="3B9EC5BA"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t xml:space="preserve">COVID-19 disebut juga </w:t>
      </w:r>
      <w:r w:rsidRPr="00A16612">
        <w:rPr>
          <w:rFonts w:ascii="Cambria" w:eastAsia="Calibri" w:hAnsi="Cambria" w:cs="Times New Roman"/>
          <w:i/>
          <w:sz w:val="24"/>
          <w:lang w:val="id-ID"/>
        </w:rPr>
        <w:t>Severe Acute Respiratory Syndrome Coronavirus-2</w:t>
      </w:r>
      <w:r w:rsidRPr="00A16612">
        <w:rPr>
          <w:rFonts w:ascii="Cambria" w:eastAsia="Calibri" w:hAnsi="Cambria" w:cs="Times New Roman"/>
          <w:sz w:val="24"/>
          <w:lang w:val="id-ID"/>
        </w:rPr>
        <w:t xml:space="preserve"> (SARS-CoV-2), adalah penyakit infeksi saluran napas akut yang disebabkan oleh coronavirus yang dilaporkan pertama kali pada bulan Desember, 2019 di Wuhan, China (Huang et al., 2020). Virus tersebut menyebar dengan cepat ke seluruh dunia dan menyebabkan pandemi dengan jumlah kasus total yang dilaporkan sampai dengan 31 Juli 2020 sebanyak lebih kurang 17,1 juta jiwa dan menyebabkan kematian sekitar 700 ribu jiwa (WHO, 2020a). Di Amerika Serikat, jumlah kasus mencapai 9 Juta orang dengan total kematian hingga 350 ribu kematian, disusul Eropa dan Asia Tenggara dengan jumlah kasus 2-3 juta orang dan kematian mencapai 40 ribu orang di Asia Tenggara serta 200 ribu orang di Eropa. </w:t>
      </w:r>
      <w:r w:rsidRPr="00A16612">
        <w:rPr>
          <w:rFonts w:ascii="Cambria" w:eastAsia="Calibri" w:hAnsi="Cambria" w:cs="Times New Roman"/>
          <w:sz w:val="24"/>
          <w:lang w:val="id-ID"/>
        </w:rPr>
        <w:fldChar w:fldCharType="begin" w:fldLock="1"/>
      </w:r>
      <w:r w:rsidRPr="00A16612">
        <w:rPr>
          <w:rFonts w:ascii="Cambria" w:eastAsia="Calibri" w:hAnsi="Cambria" w:cs="Times New Roman"/>
          <w:sz w:val="24"/>
          <w:lang w:val="id-ID"/>
        </w:rPr>
        <w:instrText>ADDIN CSL_CITATION {"citationItems":[{"id":"ITEM-1","itemData":{"DOI":"10.23917/biomedika.v13i1.13544","abstract":"COVID-19 is an acute airway infection caused by Coronavirus (SARS-Cov-2). COVID-19 remains a worldwide threat due to its high morbidity and mortality. The severity and mortality of COVID-19 patients are mainly affected by diabetes mellitus, hypertension, age, and obesity. This study aims to determine the influence of type 2 diabetes mellitus on the severity and mortality of COVID-19. This was a systematic review and meta-analysis. The articles were obtained from PubMed, ScienceDirect, Google Scholar, ProQuest, and Springer Link. The articles were published from December 2019-August 2020, full-text articles with observational study design, multivariate analysis, and (adjusted odds ratio/aOR). Keywords to search for articles were (Type 2 diabetes mellitus OR diabetic) AND (mortality OR severity) AND (COVID-19 OR Coronavirus OR SARS-CoV-2) AND (\"adjusted odds ratio\" OR \"aOR\"). Articles collected using the PRISMA diagram and analyzed using Review Manager application 5.4 with a random effect model. Ten studies were included in the meta-analysis. The results showed that Type 2 DM increasedthe severity of COVID-19 (aOR = 1.15; 95% CI= 1,11-2,15; p = 0,04) and the mortality of COVID-19 (aOR = 1,65; 95% CI = 1,27-2,16;p &lt;0,001). Conclusion: Type 2 diabetes mellitus increasedthe severity and mortality of COVID-19","author":[{"dropping-particle":"","family":"N, Lestari., B","given":"Ichsan.","non-dropping-particle":"","parse-names":false,"suffix":""}],"container-title":"Biomedika","id":"ITEM-1","issue":"1","issued":{"date-parts":[["2021"]]},"page":"83-94","title":"Diabetes Melitus Sebagai Faktor Risikokeparahan Dan Kematian Pasiencovid-19: Meta-Analisis","type":"article-journal","volume":"13"},"uris":["http://www.mendeley.com/documents/?uuid=5e242bc3-4892-47d2-998b-44009a684985"]}],"mendeley":{"formattedCitation":"(N, Lestari., B, 2021)","plainTextFormattedCitation":"(N, Lestari., B, 2021)","previouslyFormattedCitation":"(N, Lestari., B, 2021)"},"properties":{"noteIndex":0},"schema":"https://github.com/citation-style-language/schema/raw/master/csl-citation.json"}</w:instrText>
      </w:r>
      <w:r w:rsidRPr="00A16612">
        <w:rPr>
          <w:rFonts w:ascii="Cambria" w:eastAsia="Calibri" w:hAnsi="Cambria" w:cs="Times New Roman"/>
          <w:sz w:val="24"/>
          <w:lang w:val="id-ID"/>
        </w:rPr>
        <w:fldChar w:fldCharType="separate"/>
      </w:r>
      <w:r w:rsidRPr="00A16612">
        <w:rPr>
          <w:rFonts w:ascii="Cambria" w:eastAsia="Calibri" w:hAnsi="Cambria" w:cs="Times New Roman"/>
          <w:sz w:val="24"/>
          <w:lang w:val="id-ID"/>
        </w:rPr>
        <w:t>(N, Lestari., B, 2021)</w:t>
      </w:r>
      <w:r w:rsidRPr="00A16612">
        <w:rPr>
          <w:rFonts w:ascii="Cambria" w:eastAsia="Calibri" w:hAnsi="Cambria" w:cs="Times New Roman"/>
          <w:sz w:val="24"/>
          <w:lang w:val="id-ID"/>
        </w:rPr>
        <w:fldChar w:fldCharType="end"/>
      </w:r>
    </w:p>
    <w:p w14:paraId="55143B93"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t>Gejala klinis dapat berbeda-beda pada masing-masing individu karena pengaruh faktor komorbid. Sebagian besar pasien COVID-19 memiliki penyakit komorbid seperti diabetes melitus, hipertensi, penyakit kardiovaskuler, dan penyakit liver kronis. Tingkat keparahan dan mortalitas dari COVID-19 secara bermakna lebih tinggi pada pasien dengan diabetes dibandingkan pasien non-diabetes. Akibat penurunan fungsi kekebalan tubuh penyandang diabetes menjadi salah satu faktor pencetus mudanya terjadi COVID-19 di masa pandemi ini.</w:t>
      </w:r>
      <w:r w:rsidRPr="00A16612">
        <w:rPr>
          <w:rFonts w:ascii="Cambria" w:eastAsia="Calibri" w:hAnsi="Cambria" w:cs="Times New Roman"/>
          <w:sz w:val="24"/>
          <w:lang w:val="id-ID"/>
        </w:rPr>
        <w:fldChar w:fldCharType="begin" w:fldLock="1"/>
      </w:r>
      <w:r w:rsidRPr="00A16612">
        <w:rPr>
          <w:rFonts w:ascii="Cambria" w:eastAsia="Calibri" w:hAnsi="Cambria" w:cs="Times New Roman"/>
          <w:sz w:val="24"/>
          <w:lang w:val="id-ID"/>
        </w:rPr>
        <w:instrText>ADDIN CSL_CITATION {"citationItems":[{"id":"ITEM-1","itemData":{"DOI":"10.37148/arteri.v2i4.177","abstract":"Corona virus disease 2019 (COVID-19) is an infectious disease severe acute respiratory syndrome coronavirus-2 (SARS-CoV-2). The clinical scope of Covid-19 varies, from asymptomatic, mild symptoms, to clinical conditions characterized by acute respiratory failure. The most common comorbidities in patients with COVID-19 were hypertension (HTN) (56.2%), followed by diabetes mellitus (DM) (30.1%), and chronic kidney disease (CKD) (17.5%). Several studies suggest that diabetes is one of the main risk factors for COVID-19. Therefore, this literature review aims to determine the risk factors for the occurrence of COVID-19 in patients with diabetes mellitus so that it can be used as a consideration for controlling risk factors and better treatment of COVID-19 patients with comorbidities. The method used in this research is literature review and literature search is carried out through the NCBI, PubMed, and Google Scholar databases. This research involves as many as 24 library sources from 2020-2021. Several studies have shown that diabetes mellitus is a major risk factor for COVID-19. This condition is associated with several macrovascular and microvascular complications that ultimately impact the patient's survival. Diabetes which is a hyperinflammatory condition that can increase susceptibility to COVID-19 with possible mechanisms of chronic inflammation, hypercoagulable state, and activation of the renin-angiotensin-aldosterone system (RAAS) and dysregulation of the sympathetic nervous system. Future research is urgently needed to provide a better understanding of the pathophysiological mechanisms underlying the association between COVID-19 and diabetes, and their clinical management","author":[{"dropping-particle":"","family":"Fauzia","given":"Nikma Syalsabiela","non-dropping-particle":"","parse-names":false,"suffix":""}],"container-title":"ARTERI : Jurnal Ilmu Kesehatan","id":"ITEM-1","issue":"4","issued":{"date-parts":[["2021"]]},"page":"105-112","title":"Faktor Risiko Terjadinya Coronavirus Disease 2019 pada Pasien dengan Komorbid Diabetes Melitus","type":"article-journal","volume":"2"},"uris":["http://www.mendeley.com/documents/?uuid=dc2f3c4d-6596-4056-b8f5-554bad8999b1"]}],"mendeley":{"formattedCitation":"(Fauzia, 2021)","plainTextFormattedCitation":"(Fauzia, 2021)","previouslyFormattedCitation":"(Fauzia, 2021)"},"properties":{"noteIndex":0},"schema":"https://github.com/citation-style-language/schema/raw/master/csl-citation.json"}</w:instrText>
      </w:r>
      <w:r w:rsidRPr="00A16612">
        <w:rPr>
          <w:rFonts w:ascii="Cambria" w:eastAsia="Calibri" w:hAnsi="Cambria" w:cs="Times New Roman"/>
          <w:sz w:val="24"/>
          <w:lang w:val="id-ID"/>
        </w:rPr>
        <w:fldChar w:fldCharType="separate"/>
      </w:r>
      <w:r w:rsidRPr="00A16612">
        <w:rPr>
          <w:rFonts w:ascii="Cambria" w:eastAsia="Calibri" w:hAnsi="Cambria" w:cs="Times New Roman"/>
          <w:sz w:val="24"/>
          <w:lang w:val="id-ID"/>
        </w:rPr>
        <w:t>(Fauzia, 2021)</w:t>
      </w:r>
      <w:r w:rsidRPr="00A16612">
        <w:rPr>
          <w:rFonts w:ascii="Cambria" w:eastAsia="Calibri" w:hAnsi="Cambria" w:cs="Times New Roman"/>
          <w:sz w:val="24"/>
          <w:lang w:val="id-ID"/>
        </w:rPr>
        <w:fldChar w:fldCharType="end"/>
      </w:r>
      <w:r w:rsidRPr="00A16612">
        <w:rPr>
          <w:rFonts w:ascii="Cambria" w:eastAsia="Calibri" w:hAnsi="Cambria" w:cs="Times New Roman"/>
          <w:sz w:val="24"/>
          <w:lang w:val="id-ID"/>
        </w:rPr>
        <w:t>. Kombinasi spesifik dari komorbiditas pada pasien diabetes (tipe 1 dan 2) telah ditemukan memengaruhi kemampuan mereka untuk memprioritaskan dan mengelola penyakit. Pasien dengan kondisi yang dianggap tidak berhubungan untuk diabetes mungkin memerlukan dukungan tambahan dalam membuat keputusan tentang prioritas perawatan dan kegiatan manajemen diri.</w:t>
      </w:r>
      <w:r w:rsidRPr="00A16612">
        <w:rPr>
          <w:rFonts w:ascii="Cambria" w:eastAsia="Calibri" w:hAnsi="Cambria" w:cs="Times New Roman"/>
          <w:sz w:val="24"/>
          <w:lang w:val="id-ID"/>
        </w:rPr>
        <w:fldChar w:fldCharType="begin" w:fldLock="1"/>
      </w:r>
      <w:r w:rsidRPr="00A16612">
        <w:rPr>
          <w:rFonts w:ascii="Cambria" w:eastAsia="Calibri" w:hAnsi="Cambria" w:cs="Times New Roman"/>
          <w:sz w:val="24"/>
          <w:lang w:val="id-ID"/>
        </w:rPr>
        <w:instrText>ADDIN CSL_CITATION {"citationItems":[{"id":"ITEM-1","itemData":{"DOI":"10.1186/s12916-020-1492-5","ISSN":"17417015","PMID":"31980024","abstract":"The original article [1] contains an omitted grant acknowledgement and affiliation as relates to the contribution of co-author, Rafael Perera-Salazar. As such, the following two amendments should apply to the original article: 1) Rafael Perera-Salazar should also be affiliated to NIHR Oxford Biomedical Research Centre, Oxford University Hospitals NHS Foundation Trust (as shown in the affiliations of this Correction article). 2) The following Acknowledgement statement should take precedence over that in the original article.","author":[{"dropping-particle":"","family":"Nowakowska","given":"Magdalena","non-dropping-particle":"","parse-names":false,"suffix":""},{"dropping-particle":"","family":"Zghebi","given":"Salwa S.","non-dropping-particle":"","parse-names":false,"suffix":""},{"dropping-particle":"","family":"Ashcroft","given":"Darren M.","non-dropping-particle":"","parse-names":false,"suffix":""},{"dropping-particle":"","family":"Buchan","given":"Iain","non-dropping-particle":"","parse-names":false,"suffix":""},{"dropping-particle":"","family":"Chew-Graham","given":"Carolyn","non-dropping-particle":"","parse-names":false,"suffix":""},{"dropping-particle":"","family":"Holt","given":"Tim","non-dropping-particle":"","parse-names":false,"suffix":""},{"dropping-particle":"","family":"Mallen","given":"Christian","non-dropping-particle":"","parse-names":false,"suffix":""},{"dropping-particle":"","family":"Marwijk","given":"Harm","non-dropping-particle":"Van","parse-names":false,"suffix":""},{"dropping-particle":"","family":"Peek","given":"Niels","non-dropping-particle":"","parse-names":false,"suffix":""},{"dropping-particle":"","family":"Perera-Salazar","given":"Rafael","non-dropping-particle":"","parse-names":false,"suffix":""},{"dropping-particle":"","family":"Reeves","given":"David","non-dropping-particle":"","parse-names":false,"suffix":""},{"dropping-particle":"","family":"Rutter","given":"Martin K.","non-dropping-particle":"","parse-names":false,"suffix":""},{"dropping-particle":"","family":"Weng","given":"Stephen F.","non-dropping-particle":"","parse-names":false,"suffix":""},{"dropping-particle":"","family":"Qureshi","given":"Nadeem","non-dropping-particle":"","parse-names":false,"suffix":""},{"dropping-particle":"","family":"Mamas","given":"Mamas A.","non-dropping-particle":"","parse-names":false,"suffix":""},{"dropping-particle":"","family":"Kontopantelis","given":"Evangelos","non-dropping-particle":"","parse-names":false,"suffix":""}],"container-title":"BMC Medicine","id":"ITEM-1","issue":"1","issued":{"date-parts":[["2020"]]},"page":"1-10","publisher":"BMC Medicine","title":"Erratum: The comorbidity burden of type 2 diabetes mellitus: Patterns, clusters and predictions from a large English primary care cohort (BMC Medicine (2019) 17 (145) DOI: 10.1186/s12916-019-1373)","type":"article-journal","volume":"18"},"uris":["http://www.mendeley.com/documents/?uuid=27c9f202-7926-412d-985e-9f326e65c93e"]}],"mendeley":{"formattedCitation":"(Nowakowska et al., 2020)","plainTextFormattedCitation":"(Nowakowska et al., 2020)","previouslyFormattedCitation":"(Nowakowska et al., 2020)"},"properties":{"noteIndex":0},"schema":"https://github.com/citation-style-language/schema/raw/master/csl-citation.json"}</w:instrText>
      </w:r>
      <w:r w:rsidRPr="00A16612">
        <w:rPr>
          <w:rFonts w:ascii="Cambria" w:eastAsia="Calibri" w:hAnsi="Cambria" w:cs="Times New Roman"/>
          <w:sz w:val="24"/>
          <w:lang w:val="id-ID"/>
        </w:rPr>
        <w:fldChar w:fldCharType="separate"/>
      </w:r>
      <w:r w:rsidRPr="00A16612">
        <w:rPr>
          <w:rFonts w:ascii="Cambria" w:eastAsia="Calibri" w:hAnsi="Cambria" w:cs="Times New Roman"/>
          <w:sz w:val="24"/>
          <w:lang w:val="id-ID"/>
        </w:rPr>
        <w:t>(Nowakowska et al., 2020)</w:t>
      </w:r>
      <w:r w:rsidRPr="00A16612">
        <w:rPr>
          <w:rFonts w:ascii="Cambria" w:eastAsia="Calibri" w:hAnsi="Cambria" w:cs="Times New Roman"/>
          <w:sz w:val="24"/>
          <w:lang w:val="id-ID"/>
        </w:rPr>
        <w:fldChar w:fldCharType="end"/>
      </w:r>
      <w:r w:rsidRPr="00A16612">
        <w:rPr>
          <w:rFonts w:ascii="Cambria" w:eastAsia="Calibri" w:hAnsi="Cambria" w:cs="Times New Roman"/>
          <w:sz w:val="24"/>
          <w:lang w:val="id-ID"/>
        </w:rPr>
        <w:t>.</w:t>
      </w:r>
    </w:p>
    <w:p w14:paraId="043E496D"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t xml:space="preserve">Pelaksanaan edukasi ini merupakan suatu kegiatan yang bertujuan untuk membantu meningkatkan dan pemahaman di masyarakat Sungai Lulut RT.8A, Banjarmasin, Kalimantan Selatan tentang “Edukasi Diabetes Melitus Sebagai Komorbid Bagi Pasien Covid-19”. Penyampaian materi mengenai penyakit diabetes </w:t>
      </w:r>
      <w:r w:rsidRPr="00A16612">
        <w:rPr>
          <w:rFonts w:ascii="Cambria" w:eastAsia="Calibri" w:hAnsi="Cambria" w:cs="Times New Roman"/>
          <w:sz w:val="24"/>
          <w:lang w:val="id-ID"/>
        </w:rPr>
        <w:lastRenderedPageBreak/>
        <w:t>melitus di lakukan karena banyaknya yang belum mengetahui dan memahami lebih detail tentang penyakit diabetes mellitus sebagai komorbid. Tujuan dilakukan pengabdian masyarakat adalah untuk mengedukasi masyarakat Komplek Perumahan Sari Indah RT 8A mengenai penyakit diabetes mellitus sebagai penyakit COVID-19, bagaimana cara penanganan dan pencegahan penyakit Diabetes Melitus sebagai penyakit COVID-19.</w:t>
      </w:r>
    </w:p>
    <w:p w14:paraId="649397F6" w14:textId="77777777" w:rsidR="00A16612" w:rsidRPr="00A16612" w:rsidRDefault="00A16612" w:rsidP="00A16612">
      <w:pPr>
        <w:spacing w:after="0" w:line="360" w:lineRule="auto"/>
        <w:jc w:val="both"/>
        <w:rPr>
          <w:rFonts w:ascii="Cambria" w:eastAsia="Times New Roman" w:hAnsi="Cambria" w:cs="Times New Roman"/>
          <w:sz w:val="24"/>
          <w:szCs w:val="24"/>
          <w:lang w:val="id-ID" w:eastAsia="id-ID"/>
        </w:rPr>
      </w:pPr>
    </w:p>
    <w:p w14:paraId="0D39AF82" w14:textId="77777777" w:rsidR="00A16612" w:rsidRPr="00A16612" w:rsidRDefault="00A16612" w:rsidP="00A16612">
      <w:pPr>
        <w:spacing w:after="0" w:line="360" w:lineRule="auto"/>
        <w:contextualSpacing/>
        <w:jc w:val="both"/>
        <w:rPr>
          <w:rFonts w:ascii="Cambria" w:eastAsia="Times New Roman" w:hAnsi="Cambria" w:cs="Times New Roman"/>
          <w:sz w:val="24"/>
          <w:szCs w:val="24"/>
          <w:lang w:val="id-ID" w:eastAsia="id-ID"/>
        </w:rPr>
      </w:pPr>
      <w:r w:rsidRPr="00A16612">
        <w:rPr>
          <w:rFonts w:ascii="Cambria" w:eastAsia="Times New Roman" w:hAnsi="Cambria" w:cs="Times New Roman"/>
          <w:b/>
          <w:bCs/>
          <w:sz w:val="24"/>
          <w:szCs w:val="24"/>
          <w:lang w:val="id-ID" w:eastAsia="id-ID"/>
        </w:rPr>
        <w:t xml:space="preserve">METODE </w:t>
      </w:r>
    </w:p>
    <w:p w14:paraId="790EBA5B" w14:textId="77777777" w:rsidR="00A16612" w:rsidRPr="00A16612" w:rsidRDefault="00A16612" w:rsidP="00A16612">
      <w:pPr>
        <w:spacing w:after="0" w:line="360" w:lineRule="auto"/>
        <w:jc w:val="both"/>
        <w:rPr>
          <w:rFonts w:ascii="Cambria" w:eastAsia="Calibri" w:hAnsi="Cambria" w:cs="Times New Roman"/>
          <w:sz w:val="24"/>
          <w:lang w:val="id-ID"/>
        </w:rPr>
      </w:pPr>
      <w:r w:rsidRPr="00A16612">
        <w:rPr>
          <w:rFonts w:ascii="Cambria" w:eastAsia="Calibri" w:hAnsi="Cambria" w:cs="Times New Roman"/>
          <w:sz w:val="24"/>
          <w:lang w:val="id-ID"/>
        </w:rPr>
        <w:t xml:space="preserve">Kegiatan edukasi  ini menggunakan metode presentasi dengan bantuan media infografis dan </w:t>
      </w:r>
      <w:r w:rsidRPr="00A16612">
        <w:rPr>
          <w:rFonts w:ascii="Cambria" w:eastAsia="Calibri" w:hAnsi="Cambria" w:cs="Times New Roman"/>
          <w:i/>
          <w:sz w:val="24"/>
          <w:lang w:val="id-ID"/>
        </w:rPr>
        <w:t>slide</w:t>
      </w:r>
      <w:r w:rsidRPr="00A16612">
        <w:rPr>
          <w:rFonts w:ascii="Cambria" w:eastAsia="Calibri" w:hAnsi="Cambria" w:cs="Times New Roman"/>
          <w:sz w:val="24"/>
          <w:lang w:val="id-ID"/>
        </w:rPr>
        <w:t xml:space="preserve"> </w:t>
      </w:r>
      <w:r w:rsidRPr="00A16612">
        <w:rPr>
          <w:rFonts w:ascii="Cambria" w:eastAsia="Calibri" w:hAnsi="Cambria" w:cs="Times New Roman"/>
          <w:i/>
          <w:sz w:val="24"/>
          <w:lang w:val="id-ID"/>
        </w:rPr>
        <w:t>power point</w:t>
      </w:r>
      <w:r w:rsidRPr="00A16612">
        <w:rPr>
          <w:rFonts w:ascii="Cambria" w:eastAsia="Calibri" w:hAnsi="Cambria" w:cs="Times New Roman"/>
          <w:sz w:val="24"/>
          <w:lang w:val="id-ID"/>
        </w:rPr>
        <w:t xml:space="preserve"> (ppt) yang dipresentasikan secara online. Selanjutnya, untuk mengatahui tingkat pemahaman peserta akan materi yang disampaikan dilakukan pemberian kuesioner sebelum dan sesudah pemaparan materi .Kegiatan edukasi ini dilakukan secara online pada hari Minggu, 31 Oktober 2021 pukul 10.00-11.15 WIB dengan melibatkan peserta dari masyarakat umum serta peserta mata kuliah Biokimia, Program Studi Farmasi, Universitas 17 Agustus 1945 Jakarta. Sasaran dalam kegiatan ini masyarakat Sungai Lulut RT.8A, Banjarmasin, Kalimantan Selatan sebanyak 25 0rang. </w:t>
      </w:r>
    </w:p>
    <w:p w14:paraId="451034BD" w14:textId="77777777" w:rsidR="00A16612" w:rsidRPr="00A16612" w:rsidRDefault="00A16612" w:rsidP="00A16612">
      <w:pPr>
        <w:spacing w:after="200" w:line="276" w:lineRule="auto"/>
        <w:jc w:val="center"/>
        <w:rPr>
          <w:rFonts w:ascii="Cambria" w:eastAsia="Calibri" w:hAnsi="Cambria" w:cs="Times New Roman"/>
          <w:b/>
          <w:bCs/>
          <w:sz w:val="24"/>
          <w:lang w:val="id-ID"/>
        </w:rPr>
      </w:pPr>
      <w:r w:rsidRPr="00A16612">
        <w:rPr>
          <w:rFonts w:ascii="Cambria" w:eastAsia="Calibri" w:hAnsi="Cambria" w:cs="Times New Roman"/>
          <w:b/>
          <w:bCs/>
          <w:sz w:val="24"/>
          <w:lang w:val="id-ID"/>
        </w:rPr>
        <w:t>Tabel 1. Susunan Acara Kegiatan</w:t>
      </w:r>
    </w:p>
    <w:tbl>
      <w:tblPr>
        <w:tblStyle w:val="TableGrid"/>
        <w:tblW w:w="0" w:type="auto"/>
        <w:jc w:val="center"/>
        <w:tblLook w:val="04A0" w:firstRow="1" w:lastRow="0" w:firstColumn="1" w:lastColumn="0" w:noHBand="0" w:noVBand="1"/>
      </w:tblPr>
      <w:tblGrid>
        <w:gridCol w:w="2361"/>
        <w:gridCol w:w="4614"/>
      </w:tblGrid>
      <w:tr w:rsidR="00A16612" w:rsidRPr="00A16612" w14:paraId="4C3D6C7D" w14:textId="77777777" w:rsidTr="00BE6AEB">
        <w:trPr>
          <w:trHeight w:val="339"/>
          <w:jc w:val="center"/>
        </w:trPr>
        <w:tc>
          <w:tcPr>
            <w:tcW w:w="2361" w:type="dxa"/>
          </w:tcPr>
          <w:p w14:paraId="19C3FDEB" w14:textId="77777777" w:rsidR="00A16612" w:rsidRPr="00A16612" w:rsidRDefault="00A16612" w:rsidP="00A16612">
            <w:pPr>
              <w:spacing w:after="200"/>
              <w:jc w:val="center"/>
              <w:rPr>
                <w:rFonts w:ascii="Cambria" w:hAnsi="Cambria" w:cs="Times New Roman"/>
                <w:b/>
                <w:bCs/>
                <w:sz w:val="24"/>
                <w:lang w:val="id-ID"/>
              </w:rPr>
            </w:pPr>
            <w:r w:rsidRPr="00A16612">
              <w:rPr>
                <w:rFonts w:ascii="Cambria" w:hAnsi="Cambria" w:cs="Times New Roman"/>
                <w:b/>
                <w:bCs/>
                <w:sz w:val="24"/>
                <w:lang w:val="id-ID"/>
              </w:rPr>
              <w:t>Waktu</w:t>
            </w:r>
          </w:p>
        </w:tc>
        <w:tc>
          <w:tcPr>
            <w:tcW w:w="4614" w:type="dxa"/>
          </w:tcPr>
          <w:p w14:paraId="0EF0F03F" w14:textId="77777777" w:rsidR="00A16612" w:rsidRPr="00A16612" w:rsidRDefault="00A16612" w:rsidP="00A16612">
            <w:pPr>
              <w:spacing w:after="200"/>
              <w:jc w:val="center"/>
              <w:rPr>
                <w:rFonts w:ascii="Cambria" w:hAnsi="Cambria" w:cs="Times New Roman"/>
                <w:b/>
                <w:bCs/>
                <w:sz w:val="24"/>
                <w:lang w:val="id-ID"/>
              </w:rPr>
            </w:pPr>
            <w:r w:rsidRPr="00A16612">
              <w:rPr>
                <w:rFonts w:ascii="Cambria" w:hAnsi="Cambria" w:cs="Times New Roman"/>
                <w:b/>
                <w:bCs/>
                <w:sz w:val="24"/>
                <w:lang w:val="id-ID"/>
              </w:rPr>
              <w:t>Acara</w:t>
            </w:r>
          </w:p>
        </w:tc>
      </w:tr>
      <w:tr w:rsidR="00A16612" w:rsidRPr="00A16612" w14:paraId="47EC6AC8" w14:textId="77777777" w:rsidTr="00BE6AEB">
        <w:trPr>
          <w:trHeight w:val="354"/>
          <w:jc w:val="center"/>
        </w:trPr>
        <w:tc>
          <w:tcPr>
            <w:tcW w:w="2361" w:type="dxa"/>
          </w:tcPr>
          <w:p w14:paraId="6B77DBD0"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10.00-10.05</w:t>
            </w:r>
          </w:p>
        </w:tc>
        <w:tc>
          <w:tcPr>
            <w:tcW w:w="4614" w:type="dxa"/>
          </w:tcPr>
          <w:p w14:paraId="7038A3AF"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Pembukaan oleh MC</w:t>
            </w:r>
          </w:p>
        </w:tc>
      </w:tr>
      <w:tr w:rsidR="00A16612" w:rsidRPr="00A16612" w14:paraId="24594129" w14:textId="77777777" w:rsidTr="00BE6AEB">
        <w:trPr>
          <w:trHeight w:val="339"/>
          <w:jc w:val="center"/>
        </w:trPr>
        <w:tc>
          <w:tcPr>
            <w:tcW w:w="2361" w:type="dxa"/>
          </w:tcPr>
          <w:p w14:paraId="53C95E63"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10.05-10.10</w:t>
            </w:r>
          </w:p>
        </w:tc>
        <w:tc>
          <w:tcPr>
            <w:tcW w:w="4614" w:type="dxa"/>
          </w:tcPr>
          <w:p w14:paraId="6F36CCBC"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Kata Sambutan dari Ketua Pelaksanaan Kegiatan</w:t>
            </w:r>
          </w:p>
        </w:tc>
      </w:tr>
      <w:tr w:rsidR="00A16612" w:rsidRPr="00A16612" w14:paraId="391F5C1F" w14:textId="77777777" w:rsidTr="00BE6AEB">
        <w:trPr>
          <w:trHeight w:val="339"/>
          <w:jc w:val="center"/>
        </w:trPr>
        <w:tc>
          <w:tcPr>
            <w:tcW w:w="2361" w:type="dxa"/>
          </w:tcPr>
          <w:p w14:paraId="0F2574ED"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10.10-10.15</w:t>
            </w:r>
          </w:p>
        </w:tc>
        <w:tc>
          <w:tcPr>
            <w:tcW w:w="4614" w:type="dxa"/>
          </w:tcPr>
          <w:p w14:paraId="2B034FF6"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Kata Sambutan dari Perwakilan Warga</w:t>
            </w:r>
          </w:p>
        </w:tc>
      </w:tr>
      <w:tr w:rsidR="00A16612" w:rsidRPr="00A16612" w14:paraId="1867D085" w14:textId="77777777" w:rsidTr="00BE6AEB">
        <w:trPr>
          <w:trHeight w:val="354"/>
          <w:jc w:val="center"/>
        </w:trPr>
        <w:tc>
          <w:tcPr>
            <w:tcW w:w="2361" w:type="dxa"/>
          </w:tcPr>
          <w:p w14:paraId="031DDD3E"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10.15-10.20</w:t>
            </w:r>
          </w:p>
        </w:tc>
        <w:tc>
          <w:tcPr>
            <w:tcW w:w="4614" w:type="dxa"/>
          </w:tcPr>
          <w:p w14:paraId="2BBD4E0B"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 xml:space="preserve">Pemberian Kuesioner ( </w:t>
            </w:r>
            <w:r w:rsidRPr="00A16612">
              <w:rPr>
                <w:rFonts w:ascii="Cambria" w:hAnsi="Cambria" w:cs="Times New Roman"/>
                <w:i/>
                <w:sz w:val="24"/>
                <w:lang w:val="id-ID"/>
              </w:rPr>
              <w:t>Pre-Test</w:t>
            </w:r>
            <w:r w:rsidRPr="00A16612">
              <w:rPr>
                <w:rFonts w:ascii="Cambria" w:hAnsi="Cambria" w:cs="Times New Roman"/>
                <w:sz w:val="24"/>
                <w:lang w:val="id-ID"/>
              </w:rPr>
              <w:t>)</w:t>
            </w:r>
          </w:p>
        </w:tc>
      </w:tr>
      <w:tr w:rsidR="00A16612" w:rsidRPr="00A16612" w14:paraId="0AEC56D2" w14:textId="77777777" w:rsidTr="00BE6AEB">
        <w:trPr>
          <w:trHeight w:val="339"/>
          <w:jc w:val="center"/>
        </w:trPr>
        <w:tc>
          <w:tcPr>
            <w:tcW w:w="2361" w:type="dxa"/>
          </w:tcPr>
          <w:p w14:paraId="61B74499"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10.20-10.50</w:t>
            </w:r>
          </w:p>
        </w:tc>
        <w:tc>
          <w:tcPr>
            <w:tcW w:w="4614" w:type="dxa"/>
          </w:tcPr>
          <w:p w14:paraId="4ECF89F5"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Penyampaian Materi</w:t>
            </w:r>
          </w:p>
        </w:tc>
      </w:tr>
      <w:tr w:rsidR="00A16612" w:rsidRPr="00A16612" w14:paraId="3BC3BB75" w14:textId="77777777" w:rsidTr="00BE6AEB">
        <w:trPr>
          <w:trHeight w:val="339"/>
          <w:jc w:val="center"/>
        </w:trPr>
        <w:tc>
          <w:tcPr>
            <w:tcW w:w="2361" w:type="dxa"/>
          </w:tcPr>
          <w:p w14:paraId="27CB6F76"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10.50-11.05</w:t>
            </w:r>
          </w:p>
        </w:tc>
        <w:tc>
          <w:tcPr>
            <w:tcW w:w="4614" w:type="dxa"/>
          </w:tcPr>
          <w:p w14:paraId="427FCC0C"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Sesi Diskusi Tanya Jawab</w:t>
            </w:r>
          </w:p>
        </w:tc>
      </w:tr>
      <w:tr w:rsidR="00A16612" w:rsidRPr="00A16612" w14:paraId="3BECAC59" w14:textId="77777777" w:rsidTr="00BE6AEB">
        <w:trPr>
          <w:trHeight w:val="339"/>
          <w:jc w:val="center"/>
        </w:trPr>
        <w:tc>
          <w:tcPr>
            <w:tcW w:w="2361" w:type="dxa"/>
          </w:tcPr>
          <w:p w14:paraId="5EFB3BD6"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11.05-11.10</w:t>
            </w:r>
          </w:p>
        </w:tc>
        <w:tc>
          <w:tcPr>
            <w:tcW w:w="4614" w:type="dxa"/>
          </w:tcPr>
          <w:p w14:paraId="673373C1"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 xml:space="preserve">Pemberian Kuesioner ( </w:t>
            </w:r>
            <w:r w:rsidRPr="00A16612">
              <w:rPr>
                <w:rFonts w:ascii="Cambria" w:hAnsi="Cambria" w:cs="Times New Roman"/>
                <w:i/>
                <w:sz w:val="24"/>
                <w:lang w:val="id-ID"/>
              </w:rPr>
              <w:t>Post-Test</w:t>
            </w:r>
            <w:r w:rsidRPr="00A16612">
              <w:rPr>
                <w:rFonts w:ascii="Cambria" w:hAnsi="Cambria" w:cs="Times New Roman"/>
                <w:sz w:val="24"/>
                <w:lang w:val="id-ID"/>
              </w:rPr>
              <w:t>)</w:t>
            </w:r>
          </w:p>
        </w:tc>
      </w:tr>
      <w:tr w:rsidR="00A16612" w:rsidRPr="00A16612" w14:paraId="52EDE153" w14:textId="77777777" w:rsidTr="00BE6AEB">
        <w:trPr>
          <w:trHeight w:val="354"/>
          <w:jc w:val="center"/>
        </w:trPr>
        <w:tc>
          <w:tcPr>
            <w:tcW w:w="2361" w:type="dxa"/>
          </w:tcPr>
          <w:p w14:paraId="019CA821"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lastRenderedPageBreak/>
              <w:t>11.10-11.15</w:t>
            </w:r>
          </w:p>
        </w:tc>
        <w:tc>
          <w:tcPr>
            <w:tcW w:w="4614" w:type="dxa"/>
          </w:tcPr>
          <w:p w14:paraId="71EAACA3" w14:textId="77777777" w:rsidR="00A16612" w:rsidRPr="00A16612" w:rsidRDefault="00A16612" w:rsidP="00A16612">
            <w:pPr>
              <w:spacing w:after="200"/>
              <w:rPr>
                <w:rFonts w:ascii="Cambria" w:hAnsi="Cambria" w:cs="Times New Roman"/>
                <w:sz w:val="24"/>
                <w:lang w:val="id-ID"/>
              </w:rPr>
            </w:pPr>
            <w:r w:rsidRPr="00A16612">
              <w:rPr>
                <w:rFonts w:ascii="Cambria" w:hAnsi="Cambria" w:cs="Times New Roman"/>
                <w:sz w:val="24"/>
                <w:lang w:val="id-ID"/>
              </w:rPr>
              <w:t>Penutupan dan Foto Bersama</w:t>
            </w:r>
          </w:p>
        </w:tc>
      </w:tr>
    </w:tbl>
    <w:p w14:paraId="0AEA1921" w14:textId="77777777" w:rsidR="00A16612" w:rsidRPr="00A16612" w:rsidRDefault="00A16612" w:rsidP="00A16612">
      <w:pPr>
        <w:spacing w:after="0" w:line="360" w:lineRule="auto"/>
        <w:contextualSpacing/>
        <w:jc w:val="both"/>
        <w:rPr>
          <w:rFonts w:ascii="Cambria" w:eastAsia="Times New Roman" w:hAnsi="Cambria" w:cs="Times New Roman"/>
          <w:sz w:val="24"/>
          <w:szCs w:val="24"/>
          <w:lang w:val="id-ID" w:eastAsia="id-ID"/>
        </w:rPr>
      </w:pPr>
    </w:p>
    <w:p w14:paraId="51D2B0A6" w14:textId="77777777" w:rsidR="00A16612" w:rsidRPr="00A16612" w:rsidRDefault="00A16612" w:rsidP="00A16612">
      <w:pPr>
        <w:spacing w:after="0" w:line="360" w:lineRule="auto"/>
        <w:contextualSpacing/>
        <w:jc w:val="both"/>
        <w:rPr>
          <w:rFonts w:ascii="Cambria" w:eastAsia="Times New Roman" w:hAnsi="Cambria" w:cs="Times New Roman"/>
          <w:sz w:val="24"/>
          <w:szCs w:val="24"/>
          <w:lang w:val="id-ID" w:eastAsia="id-ID"/>
        </w:rPr>
      </w:pPr>
      <w:r w:rsidRPr="00A16612">
        <w:rPr>
          <w:rFonts w:ascii="Cambria" w:eastAsia="Times New Roman" w:hAnsi="Cambria" w:cs="Times New Roman"/>
          <w:b/>
          <w:bCs/>
          <w:sz w:val="24"/>
          <w:szCs w:val="24"/>
          <w:lang w:val="id-ID" w:eastAsia="id-ID"/>
        </w:rPr>
        <w:t>HASIL DAN PEMBAHASAN</w:t>
      </w:r>
      <w:r w:rsidRPr="00A16612">
        <w:rPr>
          <w:rFonts w:ascii="Cambria" w:eastAsia="Times New Roman" w:hAnsi="Cambria" w:cs="Times New Roman"/>
          <w:sz w:val="24"/>
          <w:szCs w:val="24"/>
          <w:lang w:val="id-ID" w:eastAsia="id-ID"/>
        </w:rPr>
        <w:t xml:space="preserve"> </w:t>
      </w:r>
    </w:p>
    <w:p w14:paraId="1ACFA9D9"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t xml:space="preserve">Kegiatan pengabdian masyarakat yang sudah selesai dilaksanakan ini bersifat umum, dengan melibatkan masyarakat Komplek Perumahan Sari Indah RT 8A, Banjarmasin, Kalimantan Selatan, dimana rentang usia yang mengikuti penyuluhan online ini  di antara 17-21 tahun, dengan rentang pendidikan dari SMK, universitas dan pesantren.  </w:t>
      </w:r>
    </w:p>
    <w:p w14:paraId="2BB39FA2"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t>Kegiatan ini dilakukan secara online dikarenakan pandemi yang mewabah belum selesai. Pelaksanaan kegiatan ini melibatkan peran serta dari mahasiswa/i Farmasi, Universitas 17 Agustus 1945 Jakarta pada mata kuliah Biokimia. Dimana kegiatan ini merupakan bentuk aplikasi dari bagian materi perkuliahan tentang “</w:t>
      </w:r>
      <w:r w:rsidRPr="00A16612">
        <w:rPr>
          <w:rFonts w:ascii="Cambria" w:eastAsia="Calibri" w:hAnsi="Cambria" w:cs="Times New Roman"/>
          <w:i/>
          <w:sz w:val="24"/>
          <w:lang w:val="id-ID"/>
        </w:rPr>
        <w:t>diabetes mellitus sebagai komorbid Covid-19”</w:t>
      </w:r>
      <w:r w:rsidRPr="00A16612">
        <w:rPr>
          <w:rFonts w:ascii="Cambria" w:eastAsia="Calibri" w:hAnsi="Cambria" w:cs="Times New Roman"/>
          <w:sz w:val="24"/>
          <w:lang w:val="id-ID"/>
        </w:rPr>
        <w:t xml:space="preserve"> yang berorientasi pada peningkatan pengetahuan masyarakat akan topik tersebut.</w:t>
      </w:r>
    </w:p>
    <w:p w14:paraId="24FFCD5D" w14:textId="77777777" w:rsidR="00A16612" w:rsidRPr="00A16612" w:rsidRDefault="00A16612" w:rsidP="00A16612">
      <w:pPr>
        <w:spacing w:after="0" w:line="276" w:lineRule="auto"/>
        <w:ind w:left="450"/>
        <w:contextualSpacing/>
        <w:jc w:val="center"/>
        <w:rPr>
          <w:rFonts w:ascii="Cambria" w:eastAsia="Times New Roman" w:hAnsi="Cambria" w:cs="Times New Roman"/>
          <w:b/>
          <w:bCs/>
          <w:sz w:val="24"/>
          <w:lang w:val="id-ID"/>
        </w:rPr>
      </w:pPr>
      <w:r w:rsidRPr="00A16612">
        <w:rPr>
          <w:rFonts w:ascii="Cambria" w:eastAsia="Times New Roman" w:hAnsi="Cambria" w:cs="Times New Roman"/>
          <w:b/>
          <w:bCs/>
          <w:sz w:val="24"/>
          <w:lang w:val="id-ID"/>
        </w:rPr>
        <w:t>Tabel 2. Nama Peserta Mata Kuliah Biokimia Semester Ganjil T.A 2021/22</w:t>
      </w:r>
    </w:p>
    <w:p w14:paraId="04763584" w14:textId="77777777" w:rsidR="00A16612" w:rsidRPr="00A16612" w:rsidRDefault="00A16612" w:rsidP="00A16612">
      <w:pPr>
        <w:spacing w:after="0" w:line="276" w:lineRule="auto"/>
        <w:ind w:left="450"/>
        <w:contextualSpacing/>
        <w:jc w:val="center"/>
        <w:rPr>
          <w:rFonts w:ascii="Cambria" w:eastAsia="Times New Roman" w:hAnsi="Cambria" w:cs="Times New Roman"/>
          <w:b/>
          <w:bCs/>
          <w:sz w:val="24"/>
          <w:lang w:val="id-ID"/>
        </w:rPr>
      </w:pPr>
    </w:p>
    <w:tbl>
      <w:tblPr>
        <w:tblStyle w:val="TableGrid"/>
        <w:tblW w:w="0" w:type="auto"/>
        <w:jc w:val="center"/>
        <w:tblLook w:val="04A0" w:firstRow="1" w:lastRow="0" w:firstColumn="1" w:lastColumn="0" w:noHBand="0" w:noVBand="1"/>
      </w:tblPr>
      <w:tblGrid>
        <w:gridCol w:w="4248"/>
        <w:gridCol w:w="2101"/>
      </w:tblGrid>
      <w:tr w:rsidR="00A16612" w:rsidRPr="00A16612" w14:paraId="793EB53D" w14:textId="77777777" w:rsidTr="00BE6AEB">
        <w:trPr>
          <w:jc w:val="center"/>
        </w:trPr>
        <w:tc>
          <w:tcPr>
            <w:tcW w:w="4248" w:type="dxa"/>
          </w:tcPr>
          <w:p w14:paraId="45EFBC6E" w14:textId="77777777" w:rsidR="00A16612" w:rsidRPr="00A16612" w:rsidRDefault="00A16612" w:rsidP="00A16612">
            <w:pPr>
              <w:widowControl w:val="0"/>
              <w:autoSpaceDE w:val="0"/>
              <w:autoSpaceDN w:val="0"/>
              <w:spacing w:line="360" w:lineRule="auto"/>
              <w:jc w:val="center"/>
              <w:rPr>
                <w:rFonts w:ascii="Cambria" w:eastAsia="Times New Roman" w:hAnsi="Cambria"/>
                <w:b/>
                <w:bCs/>
                <w:sz w:val="24"/>
                <w:szCs w:val="24"/>
                <w:lang w:val="id-ID"/>
              </w:rPr>
            </w:pPr>
            <w:r w:rsidRPr="00A16612">
              <w:rPr>
                <w:rFonts w:ascii="Cambria" w:eastAsia="Times New Roman" w:hAnsi="Cambria"/>
                <w:b/>
                <w:bCs/>
                <w:sz w:val="24"/>
                <w:szCs w:val="24"/>
                <w:lang w:val="id-ID"/>
              </w:rPr>
              <w:t>Nama</w:t>
            </w:r>
          </w:p>
        </w:tc>
        <w:tc>
          <w:tcPr>
            <w:tcW w:w="1545" w:type="dxa"/>
          </w:tcPr>
          <w:p w14:paraId="191C99A3" w14:textId="77777777" w:rsidR="00A16612" w:rsidRPr="00A16612" w:rsidRDefault="00A16612" w:rsidP="00A16612">
            <w:pPr>
              <w:spacing w:line="360" w:lineRule="auto"/>
              <w:contextualSpacing/>
              <w:jc w:val="center"/>
              <w:rPr>
                <w:rFonts w:ascii="Cambria" w:eastAsia="Times New Roman" w:hAnsi="Cambria" w:cs="Arial"/>
                <w:b/>
                <w:bCs/>
                <w:sz w:val="24"/>
                <w:lang w:val="id-ID"/>
              </w:rPr>
            </w:pPr>
            <w:r w:rsidRPr="00A16612">
              <w:rPr>
                <w:rFonts w:ascii="Cambria" w:eastAsia="Times New Roman" w:hAnsi="Cambria" w:cs="Arial"/>
                <w:b/>
                <w:bCs/>
                <w:sz w:val="24"/>
                <w:lang w:val="id-ID"/>
              </w:rPr>
              <w:t>NPM</w:t>
            </w:r>
          </w:p>
        </w:tc>
      </w:tr>
      <w:tr w:rsidR="00A16612" w:rsidRPr="00A16612" w14:paraId="2B722EEB" w14:textId="77777777" w:rsidTr="00BE6AEB">
        <w:trPr>
          <w:jc w:val="center"/>
        </w:trPr>
        <w:tc>
          <w:tcPr>
            <w:tcW w:w="4248" w:type="dxa"/>
          </w:tcPr>
          <w:p w14:paraId="75BBD9BF"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Yunita</w:t>
            </w:r>
            <w:proofErr w:type="spellEnd"/>
            <w:r w:rsidRPr="00A16612">
              <w:rPr>
                <w:rFonts w:ascii="Cambria" w:eastAsia="Times New Roman" w:hAnsi="Cambria"/>
                <w:sz w:val="24"/>
                <w:szCs w:val="24"/>
              </w:rPr>
              <w:t xml:space="preserve"> </w:t>
            </w:r>
            <w:proofErr w:type="spellStart"/>
            <w:r w:rsidRPr="00A16612">
              <w:rPr>
                <w:rFonts w:ascii="Cambria" w:eastAsia="Times New Roman" w:hAnsi="Cambria"/>
                <w:sz w:val="24"/>
                <w:szCs w:val="24"/>
              </w:rPr>
              <w:t>Maulida</w:t>
            </w:r>
            <w:proofErr w:type="spellEnd"/>
          </w:p>
        </w:tc>
        <w:tc>
          <w:tcPr>
            <w:tcW w:w="1545" w:type="dxa"/>
          </w:tcPr>
          <w:p w14:paraId="429D6681"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2043050032</w:t>
            </w:r>
          </w:p>
        </w:tc>
      </w:tr>
      <w:tr w:rsidR="00A16612" w:rsidRPr="00A16612" w14:paraId="085765CF" w14:textId="77777777" w:rsidTr="00BE6AEB">
        <w:trPr>
          <w:jc w:val="center"/>
        </w:trPr>
        <w:tc>
          <w:tcPr>
            <w:tcW w:w="4248" w:type="dxa"/>
          </w:tcPr>
          <w:p w14:paraId="567EAEDB"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r w:rsidRPr="00A16612">
              <w:rPr>
                <w:rFonts w:ascii="Cambria" w:eastAsia="Times New Roman" w:hAnsi="Cambria"/>
                <w:sz w:val="24"/>
                <w:szCs w:val="24"/>
              </w:rPr>
              <w:t xml:space="preserve">Elvira </w:t>
            </w:r>
            <w:proofErr w:type="spellStart"/>
            <w:r w:rsidRPr="00A16612">
              <w:rPr>
                <w:rFonts w:ascii="Cambria" w:eastAsia="Times New Roman" w:hAnsi="Cambria"/>
                <w:sz w:val="24"/>
                <w:szCs w:val="24"/>
              </w:rPr>
              <w:t>Ramadhani</w:t>
            </w:r>
            <w:proofErr w:type="spellEnd"/>
            <w:r w:rsidRPr="00A16612">
              <w:rPr>
                <w:rFonts w:ascii="Cambria" w:eastAsia="Times New Roman" w:hAnsi="Cambria"/>
                <w:sz w:val="24"/>
                <w:szCs w:val="24"/>
              </w:rPr>
              <w:tab/>
            </w:r>
            <w:r w:rsidRPr="00A16612">
              <w:rPr>
                <w:rFonts w:ascii="Cambria" w:eastAsia="Times New Roman" w:hAnsi="Cambria"/>
                <w:sz w:val="24"/>
                <w:szCs w:val="24"/>
              </w:rPr>
              <w:tab/>
            </w:r>
          </w:p>
        </w:tc>
        <w:tc>
          <w:tcPr>
            <w:tcW w:w="1545" w:type="dxa"/>
          </w:tcPr>
          <w:p w14:paraId="5506FE52"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2043050021</w:t>
            </w:r>
          </w:p>
        </w:tc>
      </w:tr>
      <w:tr w:rsidR="00A16612" w:rsidRPr="00A16612" w14:paraId="3DE71967" w14:textId="77777777" w:rsidTr="00BE6AEB">
        <w:trPr>
          <w:jc w:val="center"/>
        </w:trPr>
        <w:tc>
          <w:tcPr>
            <w:tcW w:w="4248" w:type="dxa"/>
          </w:tcPr>
          <w:p w14:paraId="1BE97DC2"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Apriliya</w:t>
            </w:r>
            <w:proofErr w:type="spellEnd"/>
            <w:r w:rsidRPr="00A16612">
              <w:rPr>
                <w:rFonts w:ascii="Cambria" w:eastAsia="Times New Roman" w:hAnsi="Cambria"/>
                <w:sz w:val="24"/>
                <w:szCs w:val="24"/>
              </w:rPr>
              <w:t xml:space="preserve"> </w:t>
            </w:r>
            <w:proofErr w:type="spellStart"/>
            <w:r w:rsidRPr="00A16612">
              <w:rPr>
                <w:rFonts w:ascii="Cambria" w:eastAsia="Times New Roman" w:hAnsi="Cambria"/>
                <w:sz w:val="24"/>
                <w:szCs w:val="24"/>
              </w:rPr>
              <w:t>Rahayu</w:t>
            </w:r>
            <w:proofErr w:type="spellEnd"/>
            <w:r w:rsidRPr="00A16612">
              <w:rPr>
                <w:rFonts w:ascii="Cambria" w:eastAsia="Times New Roman" w:hAnsi="Cambria"/>
                <w:sz w:val="24"/>
                <w:szCs w:val="24"/>
              </w:rPr>
              <w:tab/>
            </w:r>
          </w:p>
        </w:tc>
        <w:tc>
          <w:tcPr>
            <w:tcW w:w="1545" w:type="dxa"/>
          </w:tcPr>
          <w:p w14:paraId="678A40DC"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2043050019</w:t>
            </w:r>
          </w:p>
        </w:tc>
      </w:tr>
      <w:tr w:rsidR="00A16612" w:rsidRPr="00A16612" w14:paraId="29B1E118" w14:textId="77777777" w:rsidTr="00BE6AEB">
        <w:trPr>
          <w:jc w:val="center"/>
        </w:trPr>
        <w:tc>
          <w:tcPr>
            <w:tcW w:w="4248" w:type="dxa"/>
          </w:tcPr>
          <w:p w14:paraId="65C66A52"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Maulinda</w:t>
            </w:r>
            <w:proofErr w:type="spellEnd"/>
            <w:r w:rsidRPr="00A16612">
              <w:rPr>
                <w:rFonts w:ascii="Cambria" w:eastAsia="Times New Roman" w:hAnsi="Cambria"/>
                <w:sz w:val="24"/>
                <w:szCs w:val="24"/>
              </w:rPr>
              <w:t xml:space="preserve"> </w:t>
            </w:r>
            <w:proofErr w:type="spellStart"/>
            <w:r w:rsidRPr="00A16612">
              <w:rPr>
                <w:rFonts w:ascii="Cambria" w:eastAsia="Times New Roman" w:hAnsi="Cambria"/>
                <w:sz w:val="24"/>
                <w:szCs w:val="24"/>
              </w:rPr>
              <w:t>Bulan</w:t>
            </w:r>
            <w:proofErr w:type="spellEnd"/>
            <w:r w:rsidRPr="00A16612">
              <w:rPr>
                <w:rFonts w:ascii="Cambria" w:eastAsia="Times New Roman" w:hAnsi="Cambria"/>
                <w:sz w:val="24"/>
                <w:szCs w:val="24"/>
              </w:rPr>
              <w:tab/>
            </w:r>
            <w:r w:rsidRPr="00A16612">
              <w:rPr>
                <w:rFonts w:ascii="Cambria" w:eastAsia="Times New Roman" w:hAnsi="Cambria"/>
                <w:sz w:val="24"/>
                <w:szCs w:val="24"/>
              </w:rPr>
              <w:tab/>
            </w:r>
          </w:p>
        </w:tc>
        <w:tc>
          <w:tcPr>
            <w:tcW w:w="1545" w:type="dxa"/>
          </w:tcPr>
          <w:p w14:paraId="07E9A6D5"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2043050029</w:t>
            </w:r>
          </w:p>
        </w:tc>
      </w:tr>
      <w:tr w:rsidR="00A16612" w:rsidRPr="00A16612" w14:paraId="1E65C40C" w14:textId="77777777" w:rsidTr="00BE6AEB">
        <w:trPr>
          <w:jc w:val="center"/>
        </w:trPr>
        <w:tc>
          <w:tcPr>
            <w:tcW w:w="4248" w:type="dxa"/>
          </w:tcPr>
          <w:p w14:paraId="28151389"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Yuni</w:t>
            </w:r>
            <w:proofErr w:type="spellEnd"/>
            <w:r w:rsidRPr="00A16612">
              <w:rPr>
                <w:rFonts w:ascii="Cambria" w:eastAsia="Times New Roman" w:hAnsi="Cambria"/>
                <w:sz w:val="24"/>
                <w:szCs w:val="24"/>
              </w:rPr>
              <w:t xml:space="preserve"> Christina Angelika</w:t>
            </w:r>
            <w:r w:rsidRPr="00A16612">
              <w:rPr>
                <w:rFonts w:ascii="Cambria" w:eastAsia="Times New Roman" w:hAnsi="Cambria"/>
                <w:sz w:val="24"/>
                <w:szCs w:val="24"/>
              </w:rPr>
              <w:tab/>
            </w:r>
          </w:p>
        </w:tc>
        <w:tc>
          <w:tcPr>
            <w:tcW w:w="1545" w:type="dxa"/>
          </w:tcPr>
          <w:p w14:paraId="4B9B42FD"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2043050004</w:t>
            </w:r>
          </w:p>
        </w:tc>
      </w:tr>
      <w:tr w:rsidR="00A16612" w:rsidRPr="00A16612" w14:paraId="64B24161" w14:textId="77777777" w:rsidTr="00BE6AEB">
        <w:trPr>
          <w:jc w:val="center"/>
        </w:trPr>
        <w:tc>
          <w:tcPr>
            <w:tcW w:w="4248" w:type="dxa"/>
          </w:tcPr>
          <w:p w14:paraId="411EB58F"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r w:rsidRPr="00A16612">
              <w:rPr>
                <w:rFonts w:ascii="Cambria" w:eastAsia="Times New Roman" w:hAnsi="Cambria"/>
                <w:sz w:val="24"/>
                <w:szCs w:val="24"/>
              </w:rPr>
              <w:t xml:space="preserve">Irene Epifania </w:t>
            </w:r>
            <w:proofErr w:type="spellStart"/>
            <w:r w:rsidRPr="00A16612">
              <w:rPr>
                <w:rFonts w:ascii="Cambria" w:eastAsia="Times New Roman" w:hAnsi="Cambria"/>
                <w:sz w:val="24"/>
                <w:szCs w:val="24"/>
              </w:rPr>
              <w:t>Sitorus</w:t>
            </w:r>
            <w:proofErr w:type="spellEnd"/>
          </w:p>
        </w:tc>
        <w:tc>
          <w:tcPr>
            <w:tcW w:w="1545" w:type="dxa"/>
          </w:tcPr>
          <w:p w14:paraId="52280770"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2043050007</w:t>
            </w:r>
          </w:p>
        </w:tc>
      </w:tr>
      <w:tr w:rsidR="00A16612" w:rsidRPr="00A16612" w14:paraId="457D9CF8" w14:textId="77777777" w:rsidTr="00BE6AEB">
        <w:trPr>
          <w:jc w:val="center"/>
        </w:trPr>
        <w:tc>
          <w:tcPr>
            <w:tcW w:w="4248" w:type="dxa"/>
          </w:tcPr>
          <w:p w14:paraId="25832372"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Clemes</w:t>
            </w:r>
            <w:proofErr w:type="spellEnd"/>
            <w:r w:rsidRPr="00A16612">
              <w:rPr>
                <w:rFonts w:ascii="Cambria" w:eastAsia="Times New Roman" w:hAnsi="Cambria"/>
                <w:sz w:val="24"/>
                <w:szCs w:val="24"/>
              </w:rPr>
              <w:t xml:space="preserve"> </w:t>
            </w:r>
            <w:proofErr w:type="spellStart"/>
            <w:r w:rsidRPr="00A16612">
              <w:rPr>
                <w:rFonts w:ascii="Cambria" w:eastAsia="Times New Roman" w:hAnsi="Cambria"/>
                <w:sz w:val="24"/>
                <w:szCs w:val="24"/>
              </w:rPr>
              <w:t>Gidion</w:t>
            </w:r>
            <w:proofErr w:type="spellEnd"/>
            <w:r w:rsidRPr="00A16612">
              <w:rPr>
                <w:rFonts w:ascii="Cambria" w:eastAsia="Times New Roman" w:hAnsi="Cambria"/>
                <w:sz w:val="24"/>
                <w:szCs w:val="24"/>
              </w:rPr>
              <w:t xml:space="preserve"> </w:t>
            </w:r>
            <w:proofErr w:type="spellStart"/>
            <w:r w:rsidRPr="00A16612">
              <w:rPr>
                <w:rFonts w:ascii="Cambria" w:eastAsia="Times New Roman" w:hAnsi="Cambria"/>
                <w:sz w:val="24"/>
                <w:szCs w:val="24"/>
              </w:rPr>
              <w:t>Wansaga</w:t>
            </w:r>
            <w:proofErr w:type="spellEnd"/>
            <w:r w:rsidRPr="00A16612">
              <w:rPr>
                <w:rFonts w:ascii="Cambria" w:eastAsia="Times New Roman" w:hAnsi="Cambria"/>
                <w:sz w:val="24"/>
                <w:szCs w:val="24"/>
              </w:rPr>
              <w:tab/>
            </w:r>
          </w:p>
        </w:tc>
        <w:tc>
          <w:tcPr>
            <w:tcW w:w="1545" w:type="dxa"/>
          </w:tcPr>
          <w:p w14:paraId="32F393E6"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2043050003</w:t>
            </w:r>
          </w:p>
        </w:tc>
      </w:tr>
      <w:tr w:rsidR="00A16612" w:rsidRPr="00A16612" w14:paraId="69D5136F" w14:textId="77777777" w:rsidTr="00BE6AEB">
        <w:trPr>
          <w:jc w:val="center"/>
        </w:trPr>
        <w:tc>
          <w:tcPr>
            <w:tcW w:w="4248" w:type="dxa"/>
          </w:tcPr>
          <w:p w14:paraId="7EFBBBB1"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proofErr w:type="spellStart"/>
            <w:r w:rsidRPr="00A16612">
              <w:rPr>
                <w:rFonts w:ascii="Cambria" w:eastAsia="Times New Roman" w:hAnsi="Cambria"/>
                <w:sz w:val="24"/>
                <w:szCs w:val="24"/>
              </w:rPr>
              <w:t>Muhyidin</w:t>
            </w:r>
            <w:proofErr w:type="spellEnd"/>
            <w:r w:rsidRPr="00A16612">
              <w:rPr>
                <w:rFonts w:ascii="Cambria" w:eastAsia="Times New Roman" w:hAnsi="Cambria"/>
                <w:sz w:val="24"/>
                <w:szCs w:val="24"/>
              </w:rPr>
              <w:t xml:space="preserve"> Al </w:t>
            </w:r>
            <w:proofErr w:type="spellStart"/>
            <w:r w:rsidRPr="00A16612">
              <w:rPr>
                <w:rFonts w:ascii="Cambria" w:eastAsia="Times New Roman" w:hAnsi="Cambria"/>
                <w:sz w:val="24"/>
                <w:szCs w:val="24"/>
              </w:rPr>
              <w:t>Firmansyah</w:t>
            </w:r>
            <w:proofErr w:type="spellEnd"/>
            <w:r w:rsidRPr="00A16612">
              <w:rPr>
                <w:rFonts w:ascii="Cambria" w:eastAsia="Times New Roman" w:hAnsi="Cambria"/>
                <w:sz w:val="24"/>
                <w:szCs w:val="24"/>
              </w:rPr>
              <w:tab/>
            </w:r>
          </w:p>
        </w:tc>
        <w:tc>
          <w:tcPr>
            <w:tcW w:w="1545" w:type="dxa"/>
          </w:tcPr>
          <w:p w14:paraId="1A5C8132"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2043050011</w:t>
            </w:r>
          </w:p>
        </w:tc>
      </w:tr>
      <w:tr w:rsidR="00A16612" w:rsidRPr="00A16612" w14:paraId="6F06B1C7" w14:textId="77777777" w:rsidTr="00BE6AEB">
        <w:trPr>
          <w:jc w:val="center"/>
        </w:trPr>
        <w:tc>
          <w:tcPr>
            <w:tcW w:w="4248" w:type="dxa"/>
          </w:tcPr>
          <w:p w14:paraId="2E5772F9" w14:textId="77777777" w:rsidR="00A16612" w:rsidRPr="00A16612" w:rsidRDefault="00A16612" w:rsidP="00A16612">
            <w:pPr>
              <w:widowControl w:val="0"/>
              <w:autoSpaceDE w:val="0"/>
              <w:autoSpaceDN w:val="0"/>
              <w:spacing w:line="360" w:lineRule="auto"/>
              <w:rPr>
                <w:rFonts w:ascii="Cambria" w:eastAsia="Times New Roman" w:hAnsi="Cambria"/>
                <w:sz w:val="24"/>
                <w:szCs w:val="24"/>
              </w:rPr>
            </w:pPr>
            <w:r w:rsidRPr="00A16612">
              <w:rPr>
                <w:rFonts w:ascii="Cambria" w:eastAsia="Times New Roman" w:hAnsi="Cambria"/>
                <w:sz w:val="24"/>
                <w:szCs w:val="24"/>
              </w:rPr>
              <w:t>Phoebe Clarissa Chastity</w:t>
            </w:r>
          </w:p>
        </w:tc>
        <w:tc>
          <w:tcPr>
            <w:tcW w:w="1545" w:type="dxa"/>
          </w:tcPr>
          <w:p w14:paraId="6BE298A4"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2043050006</w:t>
            </w:r>
          </w:p>
        </w:tc>
      </w:tr>
      <w:tr w:rsidR="00A16612" w:rsidRPr="00A16612" w14:paraId="2DEDA018" w14:textId="77777777" w:rsidTr="00BE6AEB">
        <w:trPr>
          <w:jc w:val="center"/>
        </w:trPr>
        <w:tc>
          <w:tcPr>
            <w:tcW w:w="4248" w:type="dxa"/>
          </w:tcPr>
          <w:p w14:paraId="6EDF1634"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lang w:val="id-ID"/>
              </w:rPr>
              <w:t xml:space="preserve">           </w:t>
            </w:r>
            <w:proofErr w:type="spellStart"/>
            <w:r w:rsidRPr="00A16612">
              <w:rPr>
                <w:rFonts w:ascii="Cambria" w:eastAsia="Times New Roman" w:hAnsi="Cambria" w:cs="Arial"/>
                <w:sz w:val="24"/>
              </w:rPr>
              <w:t>Syulastri</w:t>
            </w:r>
            <w:proofErr w:type="spellEnd"/>
          </w:p>
        </w:tc>
        <w:tc>
          <w:tcPr>
            <w:tcW w:w="1545" w:type="dxa"/>
          </w:tcPr>
          <w:p w14:paraId="7F63ACEB" w14:textId="77777777" w:rsidR="00A16612" w:rsidRPr="00A16612" w:rsidRDefault="00A16612" w:rsidP="00A16612">
            <w:pPr>
              <w:spacing w:line="360" w:lineRule="auto"/>
              <w:contextualSpacing/>
              <w:rPr>
                <w:rFonts w:ascii="Cambria" w:eastAsia="Times New Roman" w:hAnsi="Cambria" w:cs="Times New Roman"/>
                <w:sz w:val="24"/>
                <w:lang w:val="id-ID"/>
              </w:rPr>
            </w:pPr>
            <w:r w:rsidRPr="00A16612">
              <w:rPr>
                <w:rFonts w:ascii="Cambria" w:eastAsia="Times New Roman" w:hAnsi="Cambria" w:cs="Arial"/>
                <w:sz w:val="24"/>
              </w:rPr>
              <w:t>2043050026</w:t>
            </w:r>
          </w:p>
        </w:tc>
      </w:tr>
    </w:tbl>
    <w:p w14:paraId="102381C7" w14:textId="77777777" w:rsidR="00A16612" w:rsidRPr="00A16612" w:rsidRDefault="00A16612" w:rsidP="00A16612">
      <w:pPr>
        <w:spacing w:after="0" w:line="276" w:lineRule="auto"/>
        <w:ind w:left="450"/>
        <w:contextualSpacing/>
        <w:jc w:val="center"/>
        <w:rPr>
          <w:rFonts w:ascii="Cambria" w:eastAsia="Times New Roman" w:hAnsi="Cambria" w:cs="Times New Roman"/>
          <w:b/>
          <w:bCs/>
          <w:sz w:val="24"/>
          <w:lang w:val="id-ID"/>
        </w:rPr>
      </w:pPr>
    </w:p>
    <w:p w14:paraId="3D366697" w14:textId="77777777" w:rsidR="00A16612" w:rsidRPr="00A16612" w:rsidRDefault="00A16612" w:rsidP="00A16612">
      <w:pPr>
        <w:spacing w:line="360" w:lineRule="auto"/>
        <w:ind w:firstLine="567"/>
        <w:jc w:val="both"/>
        <w:rPr>
          <w:rFonts w:ascii="Cambria" w:eastAsia="Calibri" w:hAnsi="Cambria" w:cs="Times New Roman"/>
          <w:sz w:val="24"/>
          <w:lang w:val="id-ID"/>
        </w:rPr>
      </w:pPr>
      <w:r w:rsidRPr="00A16612">
        <w:rPr>
          <w:rFonts w:ascii="Cambria" w:eastAsia="Calibri" w:hAnsi="Cambria" w:cs="Times New Roman"/>
          <w:sz w:val="24"/>
          <w:lang w:val="id-ID"/>
        </w:rPr>
        <w:lastRenderedPageBreak/>
        <w:t xml:space="preserve">Selesai pembukaan kegiatan, maka tim pengabdi masyarakat memberikan </w:t>
      </w:r>
      <w:r w:rsidRPr="00A16612">
        <w:rPr>
          <w:rFonts w:ascii="Cambria" w:eastAsia="Calibri" w:hAnsi="Cambria" w:cs="Times New Roman"/>
          <w:i/>
          <w:sz w:val="24"/>
          <w:lang w:val="id-ID"/>
        </w:rPr>
        <w:t xml:space="preserve">pre-test </w:t>
      </w:r>
      <w:r w:rsidRPr="00A16612">
        <w:rPr>
          <w:rFonts w:ascii="Cambria" w:eastAsia="Calibri" w:hAnsi="Cambria" w:cs="Times New Roman"/>
          <w:sz w:val="24"/>
          <w:lang w:val="id-ID"/>
        </w:rPr>
        <w:t xml:space="preserve"> berisikan pertanyaan-pertanyaan yang terkait materi yang akan dipaparkan. Pemberian materi dilakukan terlebih dahulu dengan memberikan poster berupa infografis (Gambar 1) dan pada tahap ini peserta kegiatan mulai tertarik akan topik yang diberikan. Selanjutnya, pemateri mulai mengedukasi peserta dengan memberikan materi secara mendalam melalui bantuan </w:t>
      </w:r>
      <w:r w:rsidRPr="00A16612">
        <w:rPr>
          <w:rFonts w:ascii="Cambria" w:eastAsia="Calibri" w:hAnsi="Cambria" w:cs="Times New Roman"/>
          <w:i/>
          <w:sz w:val="24"/>
          <w:lang w:val="id-ID"/>
        </w:rPr>
        <w:t>slide power point</w:t>
      </w:r>
      <w:r w:rsidRPr="00A16612">
        <w:rPr>
          <w:rFonts w:ascii="Cambria" w:eastAsia="Calibri" w:hAnsi="Cambria" w:cs="Times New Roman"/>
          <w:sz w:val="24"/>
          <w:lang w:val="id-ID"/>
        </w:rPr>
        <w:t>. Materi yang diberikan secara garis besar membahas tentang penyakit diabetes mellitus, penyakit Covid-19 dan penyakit diabetes melitus sebagai komorbid pada penyakit Covid-19. Pada tahap ini peserta kegiatan terlihat aktif menyimak materi yang disampaikan dan beragamnya pertanyaan yang diajukan oleh peserta.</w:t>
      </w:r>
    </w:p>
    <w:p w14:paraId="6B0A8AA4" w14:textId="77777777" w:rsidR="00A16612" w:rsidRPr="00A16612" w:rsidRDefault="00A16612" w:rsidP="00A16612">
      <w:pPr>
        <w:spacing w:line="360" w:lineRule="auto"/>
        <w:jc w:val="both"/>
        <w:rPr>
          <w:rFonts w:ascii="Cambria" w:eastAsia="Calibri" w:hAnsi="Cambria" w:cs="Times New Roman"/>
          <w:lang w:val="id-ID"/>
        </w:rPr>
      </w:pPr>
    </w:p>
    <w:p w14:paraId="0E75A2FA" w14:textId="77777777" w:rsidR="00A16612" w:rsidRPr="00A16612" w:rsidRDefault="00A16612" w:rsidP="00A16612">
      <w:pPr>
        <w:spacing w:line="360" w:lineRule="auto"/>
        <w:jc w:val="center"/>
        <w:rPr>
          <w:rFonts w:ascii="Cambria" w:eastAsia="Calibri" w:hAnsi="Cambria" w:cs="Times New Roman"/>
          <w:lang w:val="id-ID"/>
        </w:rPr>
      </w:pPr>
      <w:r w:rsidRPr="00A16612">
        <w:rPr>
          <w:rFonts w:ascii="Calibri" w:eastAsia="Calibri" w:hAnsi="Calibri" w:cs="Times New Roman"/>
          <w:noProof/>
          <w:lang w:val="id-ID" w:eastAsia="id-ID"/>
        </w:rPr>
        <w:lastRenderedPageBreak/>
        <w:drawing>
          <wp:inline distT="0" distB="0" distL="0" distR="0" wp14:anchorId="6474E823" wp14:editId="73FA693E">
            <wp:extent cx="2582545" cy="4932364"/>
            <wp:effectExtent l="0" t="0" r="8255" b="1905"/>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17"/>
                    <pic:cNvPicPr/>
                  </pic:nvPicPr>
                  <pic:blipFill>
                    <a:blip r:embed="rId9">
                      <a:extLst>
                        <a:ext uri="{28A0092B-C50C-407E-A947-70E740481C1C}">
                          <a14:useLocalDpi xmlns:a14="http://schemas.microsoft.com/office/drawing/2010/main" val="0"/>
                        </a:ext>
                      </a:extLst>
                    </a:blip>
                    <a:stretch>
                      <a:fillRect/>
                    </a:stretch>
                  </pic:blipFill>
                  <pic:spPr>
                    <a:xfrm>
                      <a:off x="0" y="0"/>
                      <a:ext cx="2657485" cy="5075491"/>
                    </a:xfrm>
                    <a:prstGeom prst="rect">
                      <a:avLst/>
                    </a:prstGeom>
                  </pic:spPr>
                </pic:pic>
              </a:graphicData>
            </a:graphic>
          </wp:inline>
        </w:drawing>
      </w:r>
    </w:p>
    <w:p w14:paraId="51FA0BCA" w14:textId="77777777" w:rsidR="00A16612" w:rsidRPr="00A16612" w:rsidRDefault="00A16612" w:rsidP="00A16612">
      <w:pPr>
        <w:spacing w:after="0" w:line="360" w:lineRule="auto"/>
        <w:ind w:left="450"/>
        <w:contextualSpacing/>
        <w:jc w:val="center"/>
        <w:rPr>
          <w:rFonts w:ascii="Cambria" w:eastAsia="Times New Roman" w:hAnsi="Cambria" w:cs="Times New Roman"/>
          <w:b/>
          <w:sz w:val="24"/>
          <w:lang w:val="id-ID"/>
        </w:rPr>
      </w:pPr>
      <w:r w:rsidRPr="00A16612">
        <w:rPr>
          <w:rFonts w:ascii="Cambria" w:eastAsia="Times New Roman" w:hAnsi="Cambria" w:cs="Times New Roman"/>
          <w:b/>
          <w:sz w:val="24"/>
          <w:lang w:val="id-ID"/>
        </w:rPr>
        <w:t>Gambar 1. Infografis Materi</w:t>
      </w:r>
    </w:p>
    <w:p w14:paraId="00A31C5A" w14:textId="77777777" w:rsidR="00A16612" w:rsidRPr="00A16612" w:rsidRDefault="00A16612" w:rsidP="00A16612">
      <w:pPr>
        <w:spacing w:after="0" w:line="360" w:lineRule="auto"/>
        <w:ind w:left="450"/>
        <w:contextualSpacing/>
        <w:jc w:val="center"/>
        <w:rPr>
          <w:rFonts w:ascii="Cambria" w:eastAsia="Times New Roman" w:hAnsi="Cambria" w:cs="Times New Roman"/>
          <w:b/>
          <w:sz w:val="24"/>
          <w:lang w:val="id-ID"/>
        </w:rPr>
      </w:pPr>
      <w:r w:rsidRPr="00A16612">
        <w:rPr>
          <w:rFonts w:ascii="Cambria" w:eastAsia="Times New Roman" w:hAnsi="Cambria" w:cs="Times New Roman"/>
          <w:b/>
          <w:sz w:val="24"/>
          <w:lang w:val="id-ID"/>
        </w:rPr>
        <w:t xml:space="preserve"> </w:t>
      </w:r>
    </w:p>
    <w:tbl>
      <w:tblPr>
        <w:tblStyle w:val="TableGrid"/>
        <w:tblW w:w="9923"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980"/>
      </w:tblGrid>
      <w:tr w:rsidR="00A16612" w:rsidRPr="00A16612" w14:paraId="5E4D1E28" w14:textId="77777777" w:rsidTr="00BE6AEB">
        <w:tc>
          <w:tcPr>
            <w:tcW w:w="4943" w:type="dxa"/>
          </w:tcPr>
          <w:p w14:paraId="0C83659E" w14:textId="77777777" w:rsidR="00A16612" w:rsidRPr="00A16612" w:rsidRDefault="00A16612" w:rsidP="00A16612">
            <w:pPr>
              <w:spacing w:line="360" w:lineRule="auto"/>
              <w:rPr>
                <w:rFonts w:ascii="Cambria" w:hAnsi="Cambria"/>
                <w:lang w:val="id-ID"/>
              </w:rPr>
            </w:pPr>
          </w:p>
          <w:p w14:paraId="27DE055D" w14:textId="77777777" w:rsidR="00A16612" w:rsidRPr="00A16612" w:rsidRDefault="00A16612" w:rsidP="00A16612">
            <w:pPr>
              <w:spacing w:line="360" w:lineRule="auto"/>
              <w:rPr>
                <w:rFonts w:ascii="Cambria" w:hAnsi="Cambria"/>
                <w:lang w:val="id-ID"/>
              </w:rPr>
            </w:pPr>
            <w:r w:rsidRPr="00A16612">
              <w:rPr>
                <w:noProof/>
                <w:lang w:val="id-ID" w:eastAsia="id-ID"/>
              </w:rPr>
              <w:drawing>
                <wp:inline distT="0" distB="0" distL="0" distR="0" wp14:anchorId="68A46A41" wp14:editId="068D2DD6">
                  <wp:extent cx="2646947" cy="1546962"/>
                  <wp:effectExtent l="0" t="0" r="1270" b="0"/>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7893" cy="1611803"/>
                          </a:xfrm>
                          <a:prstGeom prst="rect">
                            <a:avLst/>
                          </a:prstGeom>
                          <a:noFill/>
                          <a:ln>
                            <a:noFill/>
                          </a:ln>
                        </pic:spPr>
                      </pic:pic>
                    </a:graphicData>
                  </a:graphic>
                </wp:inline>
              </w:drawing>
            </w:r>
          </w:p>
        </w:tc>
        <w:tc>
          <w:tcPr>
            <w:tcW w:w="4980" w:type="dxa"/>
          </w:tcPr>
          <w:p w14:paraId="0B809126" w14:textId="77777777" w:rsidR="00A16612" w:rsidRPr="00A16612" w:rsidRDefault="00A16612" w:rsidP="00A16612">
            <w:pPr>
              <w:spacing w:line="360" w:lineRule="auto"/>
              <w:rPr>
                <w:rFonts w:ascii="Cambria" w:hAnsi="Cambria"/>
                <w:lang w:val="id-ID"/>
              </w:rPr>
            </w:pPr>
            <w:r w:rsidRPr="00A16612">
              <w:rPr>
                <w:noProof/>
                <w:lang w:val="id-ID" w:eastAsia="id-ID"/>
              </w:rPr>
              <w:drawing>
                <wp:anchor distT="0" distB="0" distL="114300" distR="114300" simplePos="0" relativeHeight="251659264" behindDoc="1" locked="0" layoutInCell="1" allowOverlap="1" wp14:anchorId="712425A2" wp14:editId="12C4AF37">
                  <wp:simplePos x="0" y="0"/>
                  <wp:positionH relativeFrom="margin">
                    <wp:posOffset>-8255</wp:posOffset>
                  </wp:positionH>
                  <wp:positionV relativeFrom="paragraph">
                    <wp:posOffset>354965</wp:posOffset>
                  </wp:positionV>
                  <wp:extent cx="2732405" cy="1491615"/>
                  <wp:effectExtent l="0" t="0" r="0" b="0"/>
                  <wp:wrapTight wrapText="bothSides">
                    <wp:wrapPolygon edited="0">
                      <wp:start x="0" y="0"/>
                      <wp:lineTo x="0" y="21241"/>
                      <wp:lineTo x="21384" y="21241"/>
                      <wp:lineTo x="21384" y="0"/>
                      <wp:lineTo x="0" y="0"/>
                    </wp:wrapPolygon>
                  </wp:wrapTight>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2405" cy="14916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16612" w:rsidRPr="00A16612" w14:paraId="200FEF15" w14:textId="77777777" w:rsidTr="00BE6AEB">
        <w:tc>
          <w:tcPr>
            <w:tcW w:w="9923" w:type="dxa"/>
            <w:gridSpan w:val="2"/>
          </w:tcPr>
          <w:p w14:paraId="4F8AC154" w14:textId="77777777" w:rsidR="00A16612" w:rsidRPr="00A16612" w:rsidRDefault="00A16612" w:rsidP="00A16612">
            <w:pPr>
              <w:spacing w:line="360" w:lineRule="auto"/>
              <w:rPr>
                <w:rFonts w:ascii="Cambria" w:hAnsi="Cambria"/>
                <w:lang w:val="id-ID"/>
              </w:rPr>
            </w:pPr>
          </w:p>
          <w:p w14:paraId="19279F1E" w14:textId="77777777" w:rsidR="00A16612" w:rsidRPr="00A16612" w:rsidRDefault="00A16612" w:rsidP="00A16612">
            <w:pPr>
              <w:spacing w:line="360" w:lineRule="auto"/>
              <w:jc w:val="center"/>
              <w:rPr>
                <w:rFonts w:ascii="Cambria" w:hAnsi="Cambria"/>
                <w:lang w:val="id-ID"/>
              </w:rPr>
            </w:pPr>
            <w:r w:rsidRPr="00A16612">
              <w:rPr>
                <w:noProof/>
                <w:lang w:val="id-ID" w:eastAsia="id-ID"/>
              </w:rPr>
              <w:lastRenderedPageBreak/>
              <w:drawing>
                <wp:inline distT="0" distB="0" distL="0" distR="0" wp14:anchorId="1E829218" wp14:editId="122B76A4">
                  <wp:extent cx="2667838" cy="1467852"/>
                  <wp:effectExtent l="0" t="0" r="0" b="0"/>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50106" cy="1513116"/>
                          </a:xfrm>
                          <a:prstGeom prst="rect">
                            <a:avLst/>
                          </a:prstGeom>
                          <a:noFill/>
                          <a:ln>
                            <a:noFill/>
                          </a:ln>
                        </pic:spPr>
                      </pic:pic>
                    </a:graphicData>
                  </a:graphic>
                </wp:inline>
              </w:drawing>
            </w:r>
          </w:p>
        </w:tc>
      </w:tr>
      <w:tr w:rsidR="00A16612" w:rsidRPr="00A16612" w14:paraId="0E095670" w14:textId="77777777" w:rsidTr="00BE6AEB">
        <w:tc>
          <w:tcPr>
            <w:tcW w:w="9923" w:type="dxa"/>
            <w:gridSpan w:val="2"/>
          </w:tcPr>
          <w:p w14:paraId="1E53C06A" w14:textId="77777777" w:rsidR="00A16612" w:rsidRPr="00A16612" w:rsidRDefault="00A16612" w:rsidP="00A16612">
            <w:pPr>
              <w:spacing w:line="360" w:lineRule="auto"/>
              <w:ind w:left="450"/>
              <w:contextualSpacing/>
              <w:jc w:val="center"/>
              <w:rPr>
                <w:rFonts w:ascii="Cambria" w:eastAsia="Times New Roman" w:hAnsi="Cambria" w:cs="Times New Roman"/>
                <w:b/>
                <w:sz w:val="24"/>
                <w:lang w:val="id-ID"/>
              </w:rPr>
            </w:pPr>
            <w:r w:rsidRPr="00A16612">
              <w:rPr>
                <w:rFonts w:ascii="Cambria" w:eastAsia="Times New Roman" w:hAnsi="Cambria" w:cs="Times New Roman"/>
                <w:b/>
                <w:sz w:val="24"/>
                <w:lang w:val="id-ID"/>
              </w:rPr>
              <w:lastRenderedPageBreak/>
              <w:t xml:space="preserve">Gambar 2. Pemaparan Materi </w:t>
            </w:r>
          </w:p>
        </w:tc>
      </w:tr>
    </w:tbl>
    <w:p w14:paraId="1745B572" w14:textId="77777777" w:rsidR="00A16612" w:rsidRPr="00A16612" w:rsidRDefault="00A16612" w:rsidP="00A16612">
      <w:pPr>
        <w:rPr>
          <w:rFonts w:ascii="Calibri" w:eastAsia="Calibri" w:hAnsi="Calibri" w:cs="Times New Roman"/>
          <w:lang w:val="id-ID"/>
        </w:rPr>
      </w:pPr>
    </w:p>
    <w:p w14:paraId="684E9713" w14:textId="77777777" w:rsidR="00A16612" w:rsidRPr="00A16612" w:rsidRDefault="00A16612" w:rsidP="00A16612">
      <w:pPr>
        <w:spacing w:line="360" w:lineRule="auto"/>
        <w:jc w:val="both"/>
        <w:rPr>
          <w:rFonts w:ascii="Cambria" w:eastAsia="Calibri" w:hAnsi="Cambria" w:cs="Times New Roman"/>
          <w:sz w:val="24"/>
          <w:lang w:val="id-ID"/>
        </w:rPr>
      </w:pPr>
      <w:r w:rsidRPr="00A16612">
        <w:rPr>
          <w:rFonts w:ascii="Cambria" w:eastAsia="Calibri" w:hAnsi="Cambria" w:cs="Times New Roman"/>
          <w:sz w:val="24"/>
          <w:lang w:val="id-ID"/>
        </w:rPr>
        <w:t>Sebelum dan sesudah materi dipaparkan, peserta kegiatan ini diberikan kuesioner yang berisikan pertanyaan-pertanyaan terkait materi (Tabel 3) untuk mengukur pemahaman peserta akan materi tersebut sebelum dan sesudah kegiatan edukasi online ini dilaksanakan.</w:t>
      </w:r>
    </w:p>
    <w:p w14:paraId="2A06AABE" w14:textId="77777777" w:rsidR="00A16612" w:rsidRPr="00A16612" w:rsidRDefault="00A16612" w:rsidP="00A16612">
      <w:pPr>
        <w:spacing w:after="0" w:line="360" w:lineRule="auto"/>
        <w:ind w:left="450"/>
        <w:contextualSpacing/>
        <w:jc w:val="center"/>
        <w:rPr>
          <w:rFonts w:ascii="Cambria" w:eastAsia="Times New Roman" w:hAnsi="Cambria" w:cs="Times New Roman"/>
          <w:b/>
          <w:bCs/>
          <w:sz w:val="24"/>
          <w:lang w:val="id-ID"/>
        </w:rPr>
      </w:pPr>
      <w:r w:rsidRPr="00A16612">
        <w:rPr>
          <w:rFonts w:ascii="Cambria" w:eastAsia="Times New Roman" w:hAnsi="Cambria" w:cs="Times New Roman"/>
          <w:b/>
          <w:bCs/>
          <w:sz w:val="24"/>
          <w:lang w:val="id-ID"/>
        </w:rPr>
        <w:t>Tabel 3. Butir-Butir Pertanyaan Pre-Test dan Post-Test</w:t>
      </w:r>
    </w:p>
    <w:tbl>
      <w:tblPr>
        <w:tblStyle w:val="TableGrid"/>
        <w:tblW w:w="7650" w:type="dxa"/>
        <w:jc w:val="center"/>
        <w:tblLook w:val="04A0" w:firstRow="1" w:lastRow="0" w:firstColumn="1" w:lastColumn="0" w:noHBand="0" w:noVBand="1"/>
      </w:tblPr>
      <w:tblGrid>
        <w:gridCol w:w="905"/>
        <w:gridCol w:w="6745"/>
      </w:tblGrid>
      <w:tr w:rsidR="00A16612" w:rsidRPr="00A16612" w14:paraId="74798CE2" w14:textId="77777777" w:rsidTr="00BE6AEB">
        <w:trPr>
          <w:trHeight w:val="247"/>
          <w:jc w:val="center"/>
        </w:trPr>
        <w:tc>
          <w:tcPr>
            <w:tcW w:w="905" w:type="dxa"/>
          </w:tcPr>
          <w:p w14:paraId="5CD0F1A5"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1</w:t>
            </w:r>
          </w:p>
        </w:tc>
        <w:tc>
          <w:tcPr>
            <w:tcW w:w="6745" w:type="dxa"/>
          </w:tcPr>
          <w:p w14:paraId="56D330BD"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Penyakit gangguan metabolik yang mempengaruhi kerja insulin dalam penyerapan glukosa adalah pengertian dari?</w:t>
            </w:r>
          </w:p>
          <w:p w14:paraId="7F01AEC7"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A. Diabetes Melitus</w:t>
            </w:r>
          </w:p>
          <w:p w14:paraId="7E9B0C9D"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B. Kardiovaskular</w:t>
            </w:r>
          </w:p>
          <w:p w14:paraId="1D3FDAD9"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C. Tuberculosis</w:t>
            </w:r>
          </w:p>
          <w:p w14:paraId="35BB7B64"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D. Parkinson</w:t>
            </w:r>
          </w:p>
        </w:tc>
      </w:tr>
      <w:tr w:rsidR="00A16612" w:rsidRPr="00A16612" w14:paraId="62D8EC3B" w14:textId="77777777" w:rsidTr="00BE6AEB">
        <w:trPr>
          <w:trHeight w:val="247"/>
          <w:jc w:val="center"/>
        </w:trPr>
        <w:tc>
          <w:tcPr>
            <w:tcW w:w="905" w:type="dxa"/>
          </w:tcPr>
          <w:p w14:paraId="761EA6F8"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2</w:t>
            </w:r>
          </w:p>
        </w:tc>
        <w:tc>
          <w:tcPr>
            <w:tcW w:w="6745" w:type="dxa"/>
          </w:tcPr>
          <w:p w14:paraId="10F87574"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Reseptor yang bisa memprovokasi inflamasi sehingga bisa memicu badai sitokin yaitu?</w:t>
            </w:r>
          </w:p>
          <w:p w14:paraId="26BE9246"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A. Reseptor Sitokin</w:t>
            </w:r>
          </w:p>
          <w:p w14:paraId="77FE4491"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B. Reseptor Heptaheliks</w:t>
            </w:r>
          </w:p>
          <w:p w14:paraId="70997744"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C. Reseptor Protein Kinase</w:t>
            </w:r>
          </w:p>
          <w:p w14:paraId="4A81710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D. Reseptor Muskarinik</w:t>
            </w:r>
          </w:p>
        </w:tc>
      </w:tr>
      <w:tr w:rsidR="00A16612" w:rsidRPr="00A16612" w14:paraId="4A268265" w14:textId="77777777" w:rsidTr="00BE6AEB">
        <w:trPr>
          <w:trHeight w:val="247"/>
          <w:jc w:val="center"/>
        </w:trPr>
        <w:tc>
          <w:tcPr>
            <w:tcW w:w="905" w:type="dxa"/>
          </w:tcPr>
          <w:p w14:paraId="36EB8E77"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3</w:t>
            </w:r>
          </w:p>
        </w:tc>
        <w:tc>
          <w:tcPr>
            <w:tcW w:w="6745" w:type="dxa"/>
          </w:tcPr>
          <w:p w14:paraId="05C54ED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Obat utama yang di sarankan ketika pasien DM tipe-2 terkena Covid-19 yaitu?</w:t>
            </w:r>
          </w:p>
          <w:p w14:paraId="7D6D4465"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A. Metformin</w:t>
            </w:r>
          </w:p>
          <w:p w14:paraId="63E5D7CA"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B. Thuazolidinediones</w:t>
            </w:r>
          </w:p>
          <w:p w14:paraId="03945F64"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C. Glitazone</w:t>
            </w:r>
          </w:p>
          <w:p w14:paraId="6E1C2E3B"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D. Gliptin</w:t>
            </w:r>
          </w:p>
        </w:tc>
      </w:tr>
      <w:tr w:rsidR="00A16612" w:rsidRPr="00A16612" w14:paraId="41348677" w14:textId="77777777" w:rsidTr="00BE6AEB">
        <w:trPr>
          <w:trHeight w:val="247"/>
          <w:jc w:val="center"/>
        </w:trPr>
        <w:tc>
          <w:tcPr>
            <w:tcW w:w="905" w:type="dxa"/>
          </w:tcPr>
          <w:p w14:paraId="42654B5C"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4</w:t>
            </w:r>
          </w:p>
        </w:tc>
        <w:tc>
          <w:tcPr>
            <w:tcW w:w="6745" w:type="dxa"/>
          </w:tcPr>
          <w:p w14:paraId="4308ED2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Gula darah di katakan normal yaitu pada saat...mg/dL?</w:t>
            </w:r>
          </w:p>
          <w:p w14:paraId="487DC342"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A. 200 mg/dL atau lebih</w:t>
            </w:r>
          </w:p>
          <w:p w14:paraId="1BB8A4A1"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B. 140-199 mg/dL</w:t>
            </w:r>
          </w:p>
          <w:p w14:paraId="15906C5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C. 140 mg/dL atau lebih</w:t>
            </w:r>
          </w:p>
          <w:p w14:paraId="6097F8E6"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D. 300 mg/dL</w:t>
            </w:r>
          </w:p>
        </w:tc>
      </w:tr>
      <w:tr w:rsidR="00A16612" w:rsidRPr="00A16612" w14:paraId="030513DC" w14:textId="77777777" w:rsidTr="00BE6AEB">
        <w:trPr>
          <w:trHeight w:val="1465"/>
          <w:jc w:val="center"/>
        </w:trPr>
        <w:tc>
          <w:tcPr>
            <w:tcW w:w="905" w:type="dxa"/>
          </w:tcPr>
          <w:p w14:paraId="1717673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lastRenderedPageBreak/>
              <w:t>5</w:t>
            </w:r>
          </w:p>
        </w:tc>
        <w:tc>
          <w:tcPr>
            <w:tcW w:w="6745" w:type="dxa"/>
          </w:tcPr>
          <w:p w14:paraId="77DE5BC0"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Menurut KEMENKES RI Tahun 2020 prevelensi diabetes melitus di Indonesia tertinggi diduduki oleh?</w:t>
            </w:r>
          </w:p>
          <w:p w14:paraId="2872C13F"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A. DKI Jakarta</w:t>
            </w:r>
          </w:p>
          <w:p w14:paraId="556C6853"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B. Kalimantan Selatan</w:t>
            </w:r>
          </w:p>
          <w:p w14:paraId="3AEB1B35"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C. Riau</w:t>
            </w:r>
          </w:p>
          <w:p w14:paraId="687F9F09" w14:textId="77777777" w:rsidR="00A16612" w:rsidRPr="00A16612" w:rsidRDefault="00A16612" w:rsidP="00A16612">
            <w:pPr>
              <w:rPr>
                <w:rFonts w:ascii="Cambria" w:hAnsi="Cambria" w:cs="Times New Roman"/>
                <w:sz w:val="24"/>
                <w:lang w:val="id-ID"/>
              </w:rPr>
            </w:pPr>
            <w:r w:rsidRPr="00A16612">
              <w:rPr>
                <w:rFonts w:ascii="Cambria" w:hAnsi="Cambria" w:cs="Times New Roman"/>
                <w:sz w:val="24"/>
                <w:lang w:val="id-ID"/>
              </w:rPr>
              <w:t>D. Bengkulu</w:t>
            </w:r>
          </w:p>
        </w:tc>
      </w:tr>
    </w:tbl>
    <w:p w14:paraId="74D78E80" w14:textId="77777777" w:rsidR="00A16612" w:rsidRPr="00A16612" w:rsidRDefault="00A16612" w:rsidP="00A16612">
      <w:pPr>
        <w:spacing w:line="360" w:lineRule="auto"/>
        <w:jc w:val="both"/>
        <w:rPr>
          <w:rFonts w:ascii="Cambria" w:eastAsia="Calibri" w:hAnsi="Cambria" w:cs="Times New Roman"/>
          <w:lang w:val="id-ID"/>
        </w:rPr>
      </w:pPr>
    </w:p>
    <w:p w14:paraId="0C82AB75" w14:textId="77777777" w:rsidR="00A16612" w:rsidRPr="00A16612" w:rsidRDefault="00A16612" w:rsidP="00A16612">
      <w:pPr>
        <w:spacing w:line="360" w:lineRule="auto"/>
        <w:ind w:firstLine="450"/>
        <w:jc w:val="both"/>
        <w:rPr>
          <w:rFonts w:ascii="Cambria" w:eastAsia="Calibri" w:hAnsi="Cambria" w:cs="Times New Roman"/>
          <w:sz w:val="24"/>
          <w:lang w:val="id-ID"/>
        </w:rPr>
      </w:pPr>
      <w:r w:rsidRPr="00A16612">
        <w:rPr>
          <w:rFonts w:ascii="Cambria" w:eastAsia="Calibri" w:hAnsi="Cambria" w:cs="Times New Roman"/>
          <w:sz w:val="24"/>
          <w:lang w:val="id-ID"/>
        </w:rPr>
        <w:t>Bedarsarkan Tabel 4, diperoleh hasil persentase pemahaman dari peserta penyuluhan online dari sebelum dan sesudah mengikuti webinar kami tentang “ Edukasi Diabetes Mellitus Sebagai Komorbid Bagi Pasien COVID-19”  yang menunjukkan adanya peningkatan pemahaman peserta kegiatan pengabdian masyarakat ini. Dengan ini, dapat disimpulkan bahwa penyampaian materi edukasi online yang diberikan dapat dipahami oleh para peserta.</w:t>
      </w:r>
    </w:p>
    <w:p w14:paraId="0BF861BA" w14:textId="77777777" w:rsidR="00A16612" w:rsidRPr="00A16612" w:rsidRDefault="00A16612" w:rsidP="00A16612">
      <w:pPr>
        <w:spacing w:line="360" w:lineRule="auto"/>
        <w:jc w:val="center"/>
        <w:rPr>
          <w:rFonts w:ascii="Times New Roman" w:eastAsia="Calibri" w:hAnsi="Times New Roman" w:cs="Times New Roman"/>
          <w:b/>
          <w:bCs/>
          <w:lang w:val="id-ID"/>
        </w:rPr>
      </w:pPr>
      <w:r w:rsidRPr="00A16612">
        <w:rPr>
          <w:rFonts w:ascii="Times New Roman" w:eastAsia="Calibri" w:hAnsi="Times New Roman" w:cs="Times New Roman"/>
          <w:b/>
          <w:bCs/>
          <w:lang w:val="id-ID"/>
        </w:rPr>
        <w:t>Tabel 4. Hasil Evaluasi Pre-Test dan Post-Test Kegiatan</w:t>
      </w:r>
    </w:p>
    <w:tbl>
      <w:tblPr>
        <w:tblStyle w:val="TableGrid"/>
        <w:tblW w:w="0" w:type="auto"/>
        <w:jc w:val="center"/>
        <w:tblLook w:val="04A0" w:firstRow="1" w:lastRow="0" w:firstColumn="1" w:lastColumn="0" w:noHBand="0" w:noVBand="1"/>
      </w:tblPr>
      <w:tblGrid>
        <w:gridCol w:w="2097"/>
        <w:gridCol w:w="2119"/>
        <w:gridCol w:w="2119"/>
      </w:tblGrid>
      <w:tr w:rsidR="00A16612" w:rsidRPr="00A16612" w14:paraId="0C1D49D4" w14:textId="77777777" w:rsidTr="00BE6AEB">
        <w:trPr>
          <w:jc w:val="center"/>
        </w:trPr>
        <w:tc>
          <w:tcPr>
            <w:tcW w:w="2097" w:type="dxa"/>
          </w:tcPr>
          <w:p w14:paraId="52C9D537" w14:textId="77777777" w:rsidR="00A16612" w:rsidRPr="00A16612" w:rsidRDefault="00A16612" w:rsidP="00A16612">
            <w:pPr>
              <w:spacing w:line="360" w:lineRule="auto"/>
              <w:contextualSpacing/>
              <w:jc w:val="center"/>
              <w:rPr>
                <w:rFonts w:ascii="Times New Roman" w:eastAsia="Times New Roman" w:hAnsi="Times New Roman" w:cs="Times New Roman"/>
                <w:b/>
                <w:bCs/>
                <w:sz w:val="24"/>
                <w:lang w:val="id-ID"/>
              </w:rPr>
            </w:pPr>
            <w:r w:rsidRPr="00A16612">
              <w:rPr>
                <w:rFonts w:ascii="Times New Roman" w:eastAsia="Times New Roman" w:hAnsi="Times New Roman" w:cs="Times New Roman"/>
                <w:b/>
                <w:bCs/>
                <w:sz w:val="24"/>
                <w:lang w:val="id-ID"/>
              </w:rPr>
              <w:t>Nomor Soal</w:t>
            </w:r>
          </w:p>
        </w:tc>
        <w:tc>
          <w:tcPr>
            <w:tcW w:w="1276" w:type="dxa"/>
          </w:tcPr>
          <w:p w14:paraId="2405851C" w14:textId="77777777" w:rsidR="00A16612" w:rsidRPr="00A16612" w:rsidRDefault="00A16612" w:rsidP="00A16612">
            <w:pPr>
              <w:spacing w:line="360" w:lineRule="auto"/>
              <w:contextualSpacing/>
              <w:jc w:val="center"/>
              <w:rPr>
                <w:rFonts w:ascii="Times New Roman" w:eastAsia="Times New Roman" w:hAnsi="Times New Roman" w:cs="Times New Roman"/>
                <w:b/>
                <w:bCs/>
                <w:sz w:val="24"/>
                <w:lang w:val="id-ID"/>
              </w:rPr>
            </w:pPr>
            <w:r w:rsidRPr="00A16612">
              <w:rPr>
                <w:rFonts w:ascii="Times New Roman" w:eastAsia="Times New Roman" w:hAnsi="Times New Roman" w:cs="Times New Roman"/>
                <w:b/>
                <w:bCs/>
                <w:sz w:val="24"/>
                <w:lang w:val="id-ID"/>
              </w:rPr>
              <w:t>Pre test (Persentase pemahaman)</w:t>
            </w:r>
          </w:p>
        </w:tc>
        <w:tc>
          <w:tcPr>
            <w:tcW w:w="1134" w:type="dxa"/>
          </w:tcPr>
          <w:p w14:paraId="02D04CC1" w14:textId="77777777" w:rsidR="00A16612" w:rsidRPr="00A16612" w:rsidRDefault="00A16612" w:rsidP="00A16612">
            <w:pPr>
              <w:spacing w:line="360" w:lineRule="auto"/>
              <w:contextualSpacing/>
              <w:jc w:val="center"/>
              <w:rPr>
                <w:rFonts w:ascii="Times New Roman" w:eastAsia="Times New Roman" w:hAnsi="Times New Roman" w:cs="Times New Roman"/>
                <w:b/>
                <w:bCs/>
                <w:sz w:val="24"/>
                <w:lang w:val="id-ID"/>
              </w:rPr>
            </w:pPr>
            <w:r w:rsidRPr="00A16612">
              <w:rPr>
                <w:rFonts w:ascii="Times New Roman" w:eastAsia="Times New Roman" w:hAnsi="Times New Roman" w:cs="Times New Roman"/>
                <w:b/>
                <w:bCs/>
                <w:sz w:val="24"/>
                <w:lang w:val="id-ID"/>
              </w:rPr>
              <w:t>Post test (Persentase pemahaman)</w:t>
            </w:r>
          </w:p>
        </w:tc>
      </w:tr>
      <w:tr w:rsidR="00A16612" w:rsidRPr="00A16612" w14:paraId="4992A954" w14:textId="77777777" w:rsidTr="00BE6AEB">
        <w:trPr>
          <w:jc w:val="center"/>
        </w:trPr>
        <w:tc>
          <w:tcPr>
            <w:tcW w:w="2097" w:type="dxa"/>
          </w:tcPr>
          <w:p w14:paraId="5AA608F5"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Soal 1</w:t>
            </w:r>
          </w:p>
        </w:tc>
        <w:tc>
          <w:tcPr>
            <w:tcW w:w="1276" w:type="dxa"/>
          </w:tcPr>
          <w:p w14:paraId="2EB27FA7"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68%</w:t>
            </w:r>
          </w:p>
        </w:tc>
        <w:tc>
          <w:tcPr>
            <w:tcW w:w="1134" w:type="dxa"/>
          </w:tcPr>
          <w:p w14:paraId="10D8005D"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98%</w:t>
            </w:r>
          </w:p>
        </w:tc>
      </w:tr>
      <w:tr w:rsidR="00A16612" w:rsidRPr="00A16612" w14:paraId="1B7FB24A" w14:textId="77777777" w:rsidTr="00BE6AEB">
        <w:trPr>
          <w:jc w:val="center"/>
        </w:trPr>
        <w:tc>
          <w:tcPr>
            <w:tcW w:w="2097" w:type="dxa"/>
          </w:tcPr>
          <w:p w14:paraId="1A76E88A"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Soal 2</w:t>
            </w:r>
          </w:p>
        </w:tc>
        <w:tc>
          <w:tcPr>
            <w:tcW w:w="1276" w:type="dxa"/>
          </w:tcPr>
          <w:p w14:paraId="5EC3B49F"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72%</w:t>
            </w:r>
          </w:p>
        </w:tc>
        <w:tc>
          <w:tcPr>
            <w:tcW w:w="1134" w:type="dxa"/>
          </w:tcPr>
          <w:p w14:paraId="14F52456"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92%</w:t>
            </w:r>
          </w:p>
        </w:tc>
      </w:tr>
      <w:tr w:rsidR="00A16612" w:rsidRPr="00A16612" w14:paraId="01B3AF30" w14:textId="77777777" w:rsidTr="00BE6AEB">
        <w:trPr>
          <w:jc w:val="center"/>
        </w:trPr>
        <w:tc>
          <w:tcPr>
            <w:tcW w:w="2097" w:type="dxa"/>
          </w:tcPr>
          <w:p w14:paraId="0CE77975"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Soal 3</w:t>
            </w:r>
          </w:p>
        </w:tc>
        <w:tc>
          <w:tcPr>
            <w:tcW w:w="1276" w:type="dxa"/>
          </w:tcPr>
          <w:p w14:paraId="272B364D"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36%</w:t>
            </w:r>
          </w:p>
        </w:tc>
        <w:tc>
          <w:tcPr>
            <w:tcW w:w="1134" w:type="dxa"/>
          </w:tcPr>
          <w:p w14:paraId="3FCEF5AC"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88%</w:t>
            </w:r>
          </w:p>
        </w:tc>
      </w:tr>
      <w:tr w:rsidR="00A16612" w:rsidRPr="00A16612" w14:paraId="33718406" w14:textId="77777777" w:rsidTr="00BE6AEB">
        <w:trPr>
          <w:jc w:val="center"/>
        </w:trPr>
        <w:tc>
          <w:tcPr>
            <w:tcW w:w="2097" w:type="dxa"/>
          </w:tcPr>
          <w:p w14:paraId="655486E6"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Soal 4</w:t>
            </w:r>
          </w:p>
        </w:tc>
        <w:tc>
          <w:tcPr>
            <w:tcW w:w="1276" w:type="dxa"/>
          </w:tcPr>
          <w:p w14:paraId="76C803D0"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44%</w:t>
            </w:r>
          </w:p>
        </w:tc>
        <w:tc>
          <w:tcPr>
            <w:tcW w:w="1134" w:type="dxa"/>
          </w:tcPr>
          <w:p w14:paraId="724746BC"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56%</w:t>
            </w:r>
          </w:p>
        </w:tc>
      </w:tr>
      <w:tr w:rsidR="00A16612" w:rsidRPr="00A16612" w14:paraId="240CDEB4" w14:textId="77777777" w:rsidTr="00BE6AEB">
        <w:trPr>
          <w:jc w:val="center"/>
        </w:trPr>
        <w:tc>
          <w:tcPr>
            <w:tcW w:w="2097" w:type="dxa"/>
          </w:tcPr>
          <w:p w14:paraId="24E2990C"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Soal 5</w:t>
            </w:r>
          </w:p>
        </w:tc>
        <w:tc>
          <w:tcPr>
            <w:tcW w:w="1276" w:type="dxa"/>
          </w:tcPr>
          <w:p w14:paraId="2416240C"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40%</w:t>
            </w:r>
          </w:p>
        </w:tc>
        <w:tc>
          <w:tcPr>
            <w:tcW w:w="1134" w:type="dxa"/>
          </w:tcPr>
          <w:p w14:paraId="0071AD2A" w14:textId="77777777" w:rsidR="00A16612" w:rsidRPr="00A16612" w:rsidRDefault="00A16612" w:rsidP="00A16612">
            <w:pPr>
              <w:spacing w:line="360" w:lineRule="auto"/>
              <w:contextualSpacing/>
              <w:jc w:val="center"/>
              <w:rPr>
                <w:rFonts w:ascii="Times New Roman" w:eastAsia="Times New Roman" w:hAnsi="Times New Roman" w:cs="Times New Roman"/>
                <w:sz w:val="24"/>
                <w:lang w:val="id-ID"/>
              </w:rPr>
            </w:pPr>
            <w:r w:rsidRPr="00A16612">
              <w:rPr>
                <w:rFonts w:ascii="Times New Roman" w:eastAsia="Times New Roman" w:hAnsi="Times New Roman" w:cs="Times New Roman"/>
                <w:sz w:val="24"/>
                <w:lang w:val="id-ID"/>
              </w:rPr>
              <w:t>52%</w:t>
            </w:r>
          </w:p>
        </w:tc>
      </w:tr>
    </w:tbl>
    <w:p w14:paraId="1CC86CF2" w14:textId="77777777" w:rsidR="00A16612" w:rsidRPr="00A16612" w:rsidRDefault="00A16612" w:rsidP="00A16612">
      <w:pPr>
        <w:spacing w:line="360" w:lineRule="auto"/>
        <w:rPr>
          <w:rFonts w:ascii="Cambria" w:eastAsia="Calibri" w:hAnsi="Cambria" w:cs="Times New Roman"/>
          <w:lang w:val="id-ID"/>
        </w:rPr>
      </w:pPr>
    </w:p>
    <w:p w14:paraId="50083ED1" w14:textId="77777777" w:rsidR="00A16612" w:rsidRPr="00A16612" w:rsidRDefault="00A16612" w:rsidP="00A16612">
      <w:pPr>
        <w:spacing w:after="0" w:line="360" w:lineRule="auto"/>
        <w:jc w:val="both"/>
        <w:rPr>
          <w:rFonts w:ascii="Cambria" w:eastAsia="Times New Roman" w:hAnsi="Cambria" w:cs="Times New Roman"/>
          <w:sz w:val="24"/>
          <w:szCs w:val="24"/>
          <w:lang w:val="id-ID" w:eastAsia="id-ID"/>
        </w:rPr>
      </w:pPr>
    </w:p>
    <w:p w14:paraId="675EB147" w14:textId="77777777" w:rsidR="00A16612" w:rsidRPr="00A16612" w:rsidRDefault="00A16612" w:rsidP="00A16612">
      <w:pPr>
        <w:spacing w:after="0" w:line="360" w:lineRule="auto"/>
        <w:contextualSpacing/>
        <w:jc w:val="both"/>
        <w:rPr>
          <w:rFonts w:ascii="Cambria" w:eastAsia="Times New Roman" w:hAnsi="Cambria" w:cs="Times New Roman"/>
          <w:sz w:val="24"/>
          <w:szCs w:val="24"/>
          <w:lang w:val="id-ID" w:eastAsia="id-ID"/>
        </w:rPr>
      </w:pPr>
      <w:r w:rsidRPr="00A16612">
        <w:rPr>
          <w:rFonts w:ascii="Cambria" w:eastAsia="Times New Roman" w:hAnsi="Cambria" w:cs="Times New Roman"/>
          <w:b/>
          <w:bCs/>
          <w:sz w:val="24"/>
          <w:szCs w:val="24"/>
          <w:lang w:val="id-ID" w:eastAsia="id-ID"/>
        </w:rPr>
        <w:t>SIMPULAN</w:t>
      </w:r>
    </w:p>
    <w:p w14:paraId="36C3CEC1" w14:textId="77777777" w:rsidR="00A16612" w:rsidRPr="00A16612" w:rsidRDefault="00A16612" w:rsidP="00A16612">
      <w:pPr>
        <w:spacing w:line="360" w:lineRule="auto"/>
        <w:jc w:val="both"/>
        <w:rPr>
          <w:rFonts w:ascii="Cambria" w:eastAsia="Calibri" w:hAnsi="Cambria" w:cs="Times New Roman"/>
          <w:sz w:val="24"/>
          <w:lang w:val="id-ID"/>
        </w:rPr>
      </w:pPr>
      <w:r w:rsidRPr="00A16612">
        <w:rPr>
          <w:rFonts w:ascii="Cambria" w:eastAsia="Calibri" w:hAnsi="Cambria" w:cs="Times New Roman"/>
          <w:sz w:val="24"/>
          <w:lang w:val="id-ID"/>
        </w:rPr>
        <w:t xml:space="preserve">Kegiatan pengabdian kepada masyarakat berupa penyuluhan online dengan tema “Edukasi Diabetes Mellitus Sebagai Komorbid Bagi Pasien COVID-19” pada Masyarakat Sungai Lulut Komplek Sari Indah RT. 8A, Banjarmasin, Kalimantan Selatan sudah selesai dilaksanakan dengan sangat baik. Hasil dari kegiatan ini </w:t>
      </w:r>
      <w:r w:rsidRPr="00A16612">
        <w:rPr>
          <w:rFonts w:ascii="Cambria" w:eastAsia="Calibri" w:hAnsi="Cambria" w:cs="Times New Roman"/>
          <w:sz w:val="24"/>
          <w:lang w:val="id-ID"/>
        </w:rPr>
        <w:lastRenderedPageBreak/>
        <w:t>adalah adanya peningkatan pengetahuan peserta mengenai “diabetes melitus sebagai penyakit komorbid pada penyakit Covid-19”.</w:t>
      </w:r>
    </w:p>
    <w:p w14:paraId="10DF936A" w14:textId="77777777" w:rsidR="00A16612" w:rsidRPr="00A16612" w:rsidRDefault="00A16612" w:rsidP="00A16612">
      <w:pPr>
        <w:spacing w:after="0" w:line="360" w:lineRule="auto"/>
        <w:jc w:val="both"/>
        <w:rPr>
          <w:rFonts w:ascii="Cambria" w:eastAsia="Times New Roman" w:hAnsi="Cambria" w:cs="Times New Roman"/>
          <w:sz w:val="24"/>
          <w:szCs w:val="24"/>
          <w:lang w:val="id-ID" w:eastAsia="id-ID"/>
        </w:rPr>
      </w:pPr>
    </w:p>
    <w:p w14:paraId="6C27000E" w14:textId="77777777" w:rsidR="00A16612" w:rsidRPr="00A16612" w:rsidRDefault="00A16612" w:rsidP="00A16612">
      <w:pPr>
        <w:spacing w:after="0" w:line="360" w:lineRule="auto"/>
        <w:jc w:val="both"/>
        <w:rPr>
          <w:rFonts w:ascii="Cambria" w:eastAsia="Times New Roman" w:hAnsi="Cambria" w:cs="Times New Roman"/>
          <w:b/>
          <w:bCs/>
          <w:sz w:val="24"/>
          <w:szCs w:val="24"/>
          <w:lang w:val="en-US" w:eastAsia="id-ID"/>
        </w:rPr>
      </w:pPr>
      <w:r w:rsidRPr="00A16612">
        <w:rPr>
          <w:rFonts w:ascii="Cambria" w:eastAsia="Times New Roman" w:hAnsi="Cambria" w:cs="Times New Roman"/>
          <w:b/>
          <w:bCs/>
          <w:sz w:val="24"/>
          <w:szCs w:val="24"/>
          <w:lang w:val="en-US" w:eastAsia="id-ID"/>
        </w:rPr>
        <w:t>ACKNOWLEDGMENT</w:t>
      </w:r>
    </w:p>
    <w:p w14:paraId="2F39FBEB" w14:textId="77777777" w:rsidR="00A16612" w:rsidRPr="00A16612" w:rsidRDefault="00A16612" w:rsidP="00A16612">
      <w:pPr>
        <w:spacing w:line="360" w:lineRule="auto"/>
        <w:jc w:val="both"/>
        <w:rPr>
          <w:rFonts w:ascii="Cambria" w:eastAsia="Calibri" w:hAnsi="Cambria" w:cs="Times New Roman"/>
          <w:sz w:val="24"/>
          <w:lang w:val="id-ID"/>
        </w:rPr>
      </w:pPr>
      <w:r w:rsidRPr="00A16612">
        <w:rPr>
          <w:rFonts w:ascii="Cambria" w:eastAsia="Calibri" w:hAnsi="Cambria" w:cs="Times New Roman"/>
          <w:sz w:val="24"/>
          <w:lang w:val="id-ID"/>
        </w:rPr>
        <w:t>Tim pengabdian masyarakat mengucapkan terima kasih kepada Masyarakat Sungai Lulut Komplek Sari Indah RT. 8A, Banjarmasin, Kalimantan Selatan sebagai mitra yang telah berpartisipasi aktif dalam penyuluhan online ini dan juga kepada Ketua RT 8A yang telah memberikan izin dan memfasilitasi berjalannya kegiatan ini.</w:t>
      </w:r>
    </w:p>
    <w:p w14:paraId="5E823053" w14:textId="77777777" w:rsidR="00A16612" w:rsidRPr="00A16612" w:rsidRDefault="00A16612" w:rsidP="00A16612">
      <w:pPr>
        <w:spacing w:after="0" w:line="360" w:lineRule="auto"/>
        <w:contextualSpacing/>
        <w:jc w:val="both"/>
        <w:rPr>
          <w:rFonts w:ascii="Cambria" w:eastAsia="Times New Roman" w:hAnsi="Cambria" w:cs="Times New Roman"/>
          <w:b/>
          <w:bCs/>
          <w:sz w:val="24"/>
          <w:szCs w:val="24"/>
          <w:lang w:val="id-ID" w:eastAsia="id-ID"/>
        </w:rPr>
      </w:pPr>
    </w:p>
    <w:p w14:paraId="4384C4B5" w14:textId="77777777" w:rsidR="00A16612" w:rsidRPr="00A16612" w:rsidRDefault="00A16612" w:rsidP="00A16612">
      <w:pPr>
        <w:spacing w:after="0" w:line="360" w:lineRule="auto"/>
        <w:contextualSpacing/>
        <w:jc w:val="both"/>
        <w:rPr>
          <w:rFonts w:ascii="Cambria" w:eastAsia="Calibri" w:hAnsi="Cambria" w:cs="Times New Roman"/>
          <w:sz w:val="24"/>
          <w:szCs w:val="24"/>
          <w:lang w:val="id-ID"/>
        </w:rPr>
      </w:pPr>
      <w:r w:rsidRPr="00A16612">
        <w:rPr>
          <w:rFonts w:ascii="Cambria" w:eastAsia="Times New Roman" w:hAnsi="Cambria" w:cs="Times New Roman"/>
          <w:b/>
          <w:bCs/>
          <w:sz w:val="24"/>
          <w:szCs w:val="24"/>
          <w:lang w:val="id-ID" w:eastAsia="id-ID"/>
        </w:rPr>
        <w:t>DAFTAR PUSTAKA</w:t>
      </w:r>
    </w:p>
    <w:p w14:paraId="577B2473" w14:textId="77777777" w:rsidR="00A16612" w:rsidRPr="00A16612" w:rsidRDefault="00A16612" w:rsidP="00A16612">
      <w:pPr>
        <w:jc w:val="both"/>
        <w:rPr>
          <w:rFonts w:ascii="Cambria" w:eastAsia="Calibri" w:hAnsi="Cambria" w:cs="Times New Roman"/>
          <w:sz w:val="24"/>
          <w:lang w:val="id-ID"/>
        </w:rPr>
      </w:pPr>
      <w:r w:rsidRPr="00A16612">
        <w:rPr>
          <w:rFonts w:ascii="Calibri" w:eastAsia="Calibri" w:hAnsi="Calibri" w:cs="Times New Roman"/>
          <w:b/>
          <w:lang w:val="id-ID"/>
        </w:rPr>
        <w:fldChar w:fldCharType="begin" w:fldLock="1"/>
      </w:r>
      <w:r w:rsidRPr="00A16612">
        <w:rPr>
          <w:rFonts w:ascii="Calibri" w:eastAsia="Calibri" w:hAnsi="Calibri" w:cs="Times New Roman"/>
          <w:b/>
          <w:lang w:val="id-ID"/>
        </w:rPr>
        <w:instrText xml:space="preserve">ADDIN Mendeley Bibliography CSL_BIBLIOGRAPHY </w:instrText>
      </w:r>
      <w:r w:rsidRPr="00A16612">
        <w:rPr>
          <w:rFonts w:ascii="Calibri" w:eastAsia="Calibri" w:hAnsi="Calibri" w:cs="Times New Roman"/>
          <w:b/>
          <w:lang w:val="id-ID"/>
        </w:rPr>
        <w:fldChar w:fldCharType="separate"/>
      </w:r>
      <w:r w:rsidRPr="00A16612">
        <w:rPr>
          <w:rFonts w:ascii="Cambria" w:eastAsia="Calibri" w:hAnsi="Cambria" w:cs="Times New Roman"/>
          <w:sz w:val="24"/>
          <w:lang w:val="id-ID"/>
        </w:rPr>
        <w:t>Fauzia, N. S. Faktor Risiko Terjadinya Coronavirus Disease 2019 pada Pasien dengan Komorbid Diabetes Melitus. ARTERI : Jurnal Ilmu Kesehatan, 2. 4. (2021): 105–112. https://doi.org/10.37148/arteri.v2i4.177.</w:t>
      </w:r>
    </w:p>
    <w:p w14:paraId="2A3241AC" w14:textId="77777777" w:rsidR="00A16612" w:rsidRPr="00A16612" w:rsidRDefault="00A16612" w:rsidP="00A16612">
      <w:pPr>
        <w:jc w:val="both"/>
        <w:rPr>
          <w:rFonts w:ascii="Cambria" w:eastAsia="Calibri" w:hAnsi="Cambria" w:cs="Times New Roman"/>
          <w:sz w:val="24"/>
          <w:lang w:val="id-ID"/>
        </w:rPr>
      </w:pPr>
      <w:r w:rsidRPr="00A16612">
        <w:rPr>
          <w:rFonts w:ascii="Cambria" w:eastAsia="Calibri" w:hAnsi="Cambria" w:cs="Times New Roman"/>
          <w:sz w:val="24"/>
          <w:lang w:val="id-ID"/>
        </w:rPr>
        <w:t> Huang C, Wang Y, Li X, Ren L, Zhao J, Hu y, et al. Clinical features of patients infected with 2019 novel coronavirus in Wuhan, China. Lancet. (2020). DOI: 10.1016/S0140-6736(20)30183-5</w:t>
      </w:r>
    </w:p>
    <w:p w14:paraId="650E1A8E" w14:textId="77777777" w:rsidR="00A16612" w:rsidRPr="00A16612" w:rsidRDefault="00A16612" w:rsidP="00A16612">
      <w:pPr>
        <w:jc w:val="both"/>
        <w:rPr>
          <w:rFonts w:ascii="Cambria" w:eastAsia="Calibri" w:hAnsi="Cambria" w:cs="Times New Roman"/>
          <w:sz w:val="24"/>
          <w:lang w:val="id-ID"/>
        </w:rPr>
      </w:pPr>
      <w:r w:rsidRPr="00A16612">
        <w:rPr>
          <w:rFonts w:ascii="Cambria" w:eastAsia="Calibri" w:hAnsi="Cambria" w:cs="Times New Roman"/>
          <w:sz w:val="24"/>
          <w:lang w:val="id-ID"/>
        </w:rPr>
        <w:t>N, Lestari., B, I. Diabetes Melitus Sebagai Faktor Risikokeparahan Dan Kematian Pasiencovid-19: Meta-Analisis. Biomedika, 13. 1. (2021): 83–94. https://doi.org/10.23917/biomedika.v13i1.13544</w:t>
      </w:r>
    </w:p>
    <w:p w14:paraId="691DA6D4" w14:textId="77777777" w:rsidR="00A16612" w:rsidRPr="00A16612" w:rsidRDefault="00A16612" w:rsidP="00A16612">
      <w:pPr>
        <w:jc w:val="both"/>
        <w:rPr>
          <w:rFonts w:ascii="Cambria" w:eastAsia="Calibri" w:hAnsi="Cambria" w:cs="Times New Roman"/>
          <w:sz w:val="24"/>
          <w:lang w:val="id-ID"/>
        </w:rPr>
      </w:pPr>
      <w:r w:rsidRPr="00A16612">
        <w:rPr>
          <w:rFonts w:ascii="Times New Roman" w:eastAsia="Calibri" w:hAnsi="Times New Roman" w:cs="Times New Roman"/>
          <w:b/>
          <w:lang w:val="id-ID"/>
        </w:rPr>
        <w:fldChar w:fldCharType="end"/>
      </w:r>
      <w:r w:rsidRPr="00A16612">
        <w:rPr>
          <w:rFonts w:ascii="Cambria" w:eastAsia="Calibri" w:hAnsi="Cambria" w:cs="Times New Roman"/>
          <w:sz w:val="24"/>
          <w:lang w:val="id-ID"/>
        </w:rPr>
        <w:t xml:space="preserve"> Nowakowska M, Zghebi SS, Ashcroft DM, et al. The comorbidity burden of type 2 diabetes mellitus: patterns, clusters and predictions from a large English primary care cohort. </w:t>
      </w:r>
      <w:r w:rsidRPr="00A16612">
        <w:rPr>
          <w:rFonts w:ascii="Cambria" w:eastAsia="Calibri" w:hAnsi="Cambria" w:cs="Times New Roman"/>
          <w:i/>
          <w:sz w:val="24"/>
          <w:lang w:val="id-ID"/>
        </w:rPr>
        <w:t>J.</w:t>
      </w:r>
      <w:r w:rsidRPr="00A16612">
        <w:rPr>
          <w:rFonts w:ascii="Cambria" w:eastAsia="Calibri" w:hAnsi="Cambria" w:cs="Times New Roman"/>
          <w:sz w:val="24"/>
          <w:lang w:val="id-ID"/>
        </w:rPr>
        <w:t xml:space="preserve"> BMC Med. 17. 1. (2019): 145.</w:t>
      </w:r>
    </w:p>
    <w:p w14:paraId="31960CC6" w14:textId="77777777" w:rsidR="00A16612" w:rsidRPr="00A16612" w:rsidRDefault="00A16612" w:rsidP="00A16612">
      <w:pPr>
        <w:jc w:val="both"/>
        <w:rPr>
          <w:rFonts w:ascii="Cambria" w:eastAsia="Calibri" w:hAnsi="Cambria" w:cs="Times New Roman"/>
          <w:lang w:val="id-ID"/>
        </w:rPr>
      </w:pPr>
      <w:hyperlink r:id="rId13" w:history="1">
        <w:r w:rsidRPr="00A16612">
          <w:rPr>
            <w:rFonts w:ascii="Cambria" w:eastAsia="Calibri" w:hAnsi="Cambria" w:cs="Times New Roman"/>
            <w:color w:val="0000FF"/>
            <w:u w:val="single"/>
            <w:lang w:val="id-ID"/>
          </w:rPr>
          <w:t>https://www.who.int/dg/speeches/detail/who-director-general-s-opening-remarks-at-the-media-briefing-on-covid-19</w:t>
        </w:r>
      </w:hyperlink>
      <w:r w:rsidRPr="00A16612">
        <w:rPr>
          <w:rFonts w:ascii="Cambria" w:eastAsia="Calibri" w:hAnsi="Cambria" w:cs="Times New Roman"/>
          <w:lang w:val="id-ID"/>
        </w:rPr>
        <w:t>. “WHO Director-General’s Opening Remarks at the Media Briefing on COVID-19 -11 March 2020.” 11/03/2020, diakses 27/09/2022.</w:t>
      </w:r>
    </w:p>
    <w:p w14:paraId="5589CD2B" w14:textId="77777777" w:rsidR="00391423" w:rsidRDefault="00391423"/>
    <w:sectPr w:rsidR="00391423" w:rsidSect="00A166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EF98D" w14:textId="77777777" w:rsidR="006B03E9" w:rsidRDefault="006B03E9" w:rsidP="00A16612">
      <w:pPr>
        <w:spacing w:after="0" w:line="240" w:lineRule="auto"/>
      </w:pPr>
      <w:r>
        <w:separator/>
      </w:r>
    </w:p>
  </w:endnote>
  <w:endnote w:type="continuationSeparator" w:id="0">
    <w:p w14:paraId="7EA55047" w14:textId="77777777" w:rsidR="006B03E9" w:rsidRDefault="006B03E9" w:rsidP="00A1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3767655"/>
      <w:docPartObj>
        <w:docPartGallery w:val="Page Numbers (Bottom of Page)"/>
        <w:docPartUnique/>
      </w:docPartObj>
    </w:sdtPr>
    <w:sdtEndPr>
      <w:rPr>
        <w:noProof/>
      </w:rPr>
    </w:sdtEndPr>
    <w:sdtContent>
      <w:p w14:paraId="1FDFB9AD" w14:textId="722C28A0" w:rsidR="00A16612" w:rsidRDefault="00A166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90796" w14:textId="77777777" w:rsidR="00A16612" w:rsidRDefault="00A16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08B1C" w14:textId="77777777" w:rsidR="006B03E9" w:rsidRDefault="006B03E9" w:rsidP="00A16612">
      <w:pPr>
        <w:spacing w:after="0" w:line="240" w:lineRule="auto"/>
      </w:pPr>
      <w:r>
        <w:separator/>
      </w:r>
    </w:p>
  </w:footnote>
  <w:footnote w:type="continuationSeparator" w:id="0">
    <w:p w14:paraId="2D04F77E" w14:textId="77777777" w:rsidR="006B03E9" w:rsidRDefault="006B03E9" w:rsidP="00A1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51BC" w14:textId="070D5B74" w:rsidR="00A16612" w:rsidRDefault="00A16612">
    <w:pPr>
      <w:pStyle w:val="Header"/>
    </w:pPr>
    <w:r>
      <w:rPr>
        <w:noProof/>
      </w:rPr>
      <w:drawing>
        <wp:anchor distT="0" distB="0" distL="114300" distR="114300" simplePos="0" relativeHeight="251658240" behindDoc="1" locked="0" layoutInCell="1" allowOverlap="1" wp14:anchorId="267A16FB" wp14:editId="36937629">
          <wp:simplePos x="0" y="0"/>
          <wp:positionH relativeFrom="column">
            <wp:posOffset>-1289685</wp:posOffset>
          </wp:positionH>
          <wp:positionV relativeFrom="paragraph">
            <wp:posOffset>-354965</wp:posOffset>
          </wp:positionV>
          <wp:extent cx="7781925" cy="1282700"/>
          <wp:effectExtent l="0" t="0" r="9525" b="0"/>
          <wp:wrapTight wrapText="bothSides">
            <wp:wrapPolygon edited="0">
              <wp:start x="0" y="0"/>
              <wp:lineTo x="0" y="21172"/>
              <wp:lineTo x="21574" y="21172"/>
              <wp:lineTo x="2157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81925" cy="12827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5"/>
    <w:rsid w:val="00391423"/>
    <w:rsid w:val="006B03E9"/>
    <w:rsid w:val="00902865"/>
    <w:rsid w:val="00A1661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83AB31-844E-4BAF-9A98-E6B3A97B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6612"/>
    <w:pPr>
      <w:spacing w:after="0" w:line="240" w:lineRule="auto"/>
      <w:ind w:left="556"/>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1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612"/>
  </w:style>
  <w:style w:type="paragraph" w:styleId="Footer">
    <w:name w:val="footer"/>
    <w:basedOn w:val="Normal"/>
    <w:link w:val="FooterChar"/>
    <w:uiPriority w:val="99"/>
    <w:unhideWhenUsed/>
    <w:rsid w:val="00A1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dg/speeches/detail/who-director-general-s-opening-remarks-at-the-media-briefing-on-covid-19"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iongpanjaitan@yahoo.co.id" TargetMode="External"/><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3076</Words>
  <Characters>17536</Characters>
  <Application>Microsoft Office Word</Application>
  <DocSecurity>0</DocSecurity>
  <Lines>146</Lines>
  <Paragraphs>41</Paragraphs>
  <ScaleCrop>false</ScaleCrop>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Kurnia</dc:creator>
  <cp:keywords/>
  <dc:description/>
  <cp:lastModifiedBy>Eka Kurnia</cp:lastModifiedBy>
  <cp:revision>2</cp:revision>
  <dcterms:created xsi:type="dcterms:W3CDTF">2022-10-11T08:21:00Z</dcterms:created>
  <dcterms:modified xsi:type="dcterms:W3CDTF">2022-10-11T08:24:00Z</dcterms:modified>
</cp:coreProperties>
</file>